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1697C">
      <w:pPr>
        <w:spacing w:line="360" w:lineRule="auto"/>
        <w:jc w:val="center"/>
        <w:rPr>
          <w:rFonts w:ascii="Times New Roman" w:hAnsi="Times New Roman" w:eastAsia="宋体"/>
        </w:rPr>
      </w:pPr>
      <w:bookmarkStart w:id="30" w:name="_GoBack"/>
      <w:bookmarkEnd w:id="30"/>
    </w:p>
    <w:p w14:paraId="58589419">
      <w:pPr>
        <w:spacing w:line="360" w:lineRule="auto"/>
        <w:jc w:val="center"/>
        <w:rPr>
          <w:rFonts w:ascii="Times New Roman" w:hAnsi="Times New Roman" w:eastAsia="宋体"/>
        </w:rPr>
      </w:pPr>
      <w:r>
        <w:rPr>
          <w:rFonts w:hint="eastAsia" w:ascii="Times New Roman" w:hAnsi="Times New Roman" w:eastAsia="宋体"/>
          <w:lang w:eastAsia="zh-CN"/>
        </w:rPr>
        <w:drawing>
          <wp:inline distT="0" distB="0" distL="114300" distR="114300">
            <wp:extent cx="5875020" cy="8335010"/>
            <wp:effectExtent l="0" t="0" r="5080" b="8890"/>
            <wp:docPr id="3" name="图片 3" descr="美亚高新材料股份有限公司产品碳足迹报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美亚高新材料股份有限公司产品碳足迹报告-1"/>
                    <pic:cNvPicPr>
                      <a:picLocks noChangeAspect="1"/>
                    </pic:cNvPicPr>
                  </pic:nvPicPr>
                  <pic:blipFill>
                    <a:blip r:embed="rId7"/>
                    <a:stretch>
                      <a:fillRect/>
                    </a:stretch>
                  </pic:blipFill>
                  <pic:spPr>
                    <a:xfrm>
                      <a:off x="0" y="0"/>
                      <a:ext cx="5875020" cy="8335010"/>
                    </a:xfrm>
                    <a:prstGeom prst="rect">
                      <a:avLst/>
                    </a:prstGeom>
                  </pic:spPr>
                </pic:pic>
              </a:graphicData>
            </a:graphic>
          </wp:inline>
        </w:drawing>
      </w:r>
    </w:p>
    <w:p w14:paraId="194950DC">
      <w:pPr>
        <w:spacing w:line="360" w:lineRule="auto"/>
        <w:jc w:val="center"/>
        <w:rPr>
          <w:rFonts w:ascii="Times New Roman" w:hAnsi="Times New Roman" w:eastAsia="宋体"/>
        </w:rPr>
      </w:pPr>
    </w:p>
    <w:p w14:paraId="706C7EEB">
      <w:pPr>
        <w:spacing w:line="360" w:lineRule="auto"/>
        <w:jc w:val="center"/>
        <w:rPr>
          <w:rFonts w:ascii="Times New Roman" w:hAnsi="Times New Roman" w:eastAsia="宋体"/>
        </w:rPr>
      </w:pPr>
    </w:p>
    <w:p w14:paraId="00C147B6">
      <w:pPr>
        <w:spacing w:line="360" w:lineRule="auto"/>
        <w:jc w:val="center"/>
        <w:rPr>
          <w:rFonts w:ascii="Times New Roman" w:hAnsi="Times New Roman" w:eastAsia="宋体"/>
        </w:rPr>
      </w:pPr>
    </w:p>
    <w:p w14:paraId="2B37DC78">
      <w:pPr>
        <w:spacing w:line="360" w:lineRule="auto"/>
        <w:jc w:val="center"/>
        <w:rPr>
          <w:rFonts w:ascii="Times New Roman" w:hAnsi="Times New Roman" w:eastAsia="宋体"/>
        </w:rPr>
      </w:pPr>
    </w:p>
    <w:p w14:paraId="65ACE405">
      <w:pPr>
        <w:spacing w:line="360" w:lineRule="auto"/>
        <w:jc w:val="center"/>
        <w:rPr>
          <w:rFonts w:ascii="Times New Roman" w:hAnsi="Times New Roman" w:eastAsia="宋体"/>
          <w:b/>
          <w:bCs/>
          <w:sz w:val="32"/>
          <w:szCs w:val="32"/>
        </w:rPr>
      </w:pPr>
      <w:r>
        <w:rPr>
          <w:rFonts w:hint="eastAsia" w:ascii="Times New Roman" w:hAnsi="Times New Roman" w:eastAsia="宋体"/>
          <w:b/>
          <w:bCs/>
          <w:sz w:val="32"/>
          <w:szCs w:val="32"/>
        </w:rPr>
        <w:t>目录</w:t>
      </w:r>
    </w:p>
    <w:p w14:paraId="61A9FA94">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b w:val="0"/>
          <w:bCs w:val="0"/>
          <w:sz w:val="32"/>
          <w:szCs w:val="32"/>
        </w:rPr>
        <w:fldChar w:fldCharType="begin"/>
      </w:r>
      <w:r>
        <w:rPr>
          <w:rFonts w:hint="default" w:ascii="Times New Roman Regular" w:hAnsi="Times New Roman Regular" w:eastAsia="宋体" w:cs="Times New Roman Regular"/>
          <w:b w:val="0"/>
          <w:bCs w:val="0"/>
          <w:sz w:val="32"/>
          <w:szCs w:val="32"/>
        </w:rPr>
        <w:instrText xml:space="preserve"> TOC \o "1-2" \h \z \u </w:instrText>
      </w:r>
      <w:r>
        <w:rPr>
          <w:rFonts w:hint="default" w:ascii="Times New Roman Regular" w:hAnsi="Times New Roman Regular" w:eastAsia="宋体" w:cs="Times New Roman Regular"/>
          <w:b w:val="0"/>
          <w:bCs w:val="0"/>
          <w:sz w:val="32"/>
          <w:szCs w:val="32"/>
        </w:rPr>
        <w:fldChar w:fldCharType="separate"/>
      </w:r>
      <w:r>
        <w:rPr>
          <w:rFonts w:hint="default" w:ascii="Times New Roman Regular" w:hAnsi="Times New Roman Regular" w:eastAsia="宋体" w:cs="Times New Roman Regular"/>
          <w:bCs w:val="0"/>
          <w:sz w:val="22"/>
          <w:szCs w:val="32"/>
        </w:rPr>
        <w:fldChar w:fldCharType="begin"/>
      </w:r>
      <w:r>
        <w:rPr>
          <w:rFonts w:hint="default" w:ascii="Times New Roman Regular" w:hAnsi="Times New Roman Regular" w:eastAsia="宋体" w:cs="Times New Roman Regular"/>
          <w:bCs w:val="0"/>
          <w:sz w:val="22"/>
          <w:szCs w:val="32"/>
        </w:rPr>
        <w:instrText xml:space="preserve"> HYPERLINK \l _Toc30093 </w:instrText>
      </w:r>
      <w:r>
        <w:rPr>
          <w:rFonts w:hint="default" w:ascii="Times New Roman Regular" w:hAnsi="Times New Roman Regular" w:eastAsia="宋体" w:cs="Times New Roman Regular"/>
          <w:bCs w:val="0"/>
          <w:sz w:val="22"/>
          <w:szCs w:val="32"/>
        </w:rPr>
        <w:fldChar w:fldCharType="separate"/>
      </w:r>
      <w:r>
        <w:rPr>
          <w:rFonts w:hint="default" w:ascii="Times New Roman Regular" w:hAnsi="Times New Roman Regular" w:eastAsia="宋体" w:cs="Times New Roman Regular"/>
          <w:bCs/>
          <w:sz w:val="22"/>
          <w:szCs w:val="40"/>
        </w:rPr>
        <w:t>一、 概况</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_Toc30093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bCs w:val="0"/>
          <w:sz w:val="22"/>
          <w:szCs w:val="32"/>
        </w:rPr>
        <w:fldChar w:fldCharType="end"/>
      </w:r>
    </w:p>
    <w:p w14:paraId="0804E224">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_Toc5243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1. 生产者信息</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_Toc5243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3EBE17B1">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_Toc8527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2. 产品信息</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_Toc8527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2</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70F82A83">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_Toc11173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3. 量化方法</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_Toc11173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3</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3075AFE0">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_Toc28960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二、 量化目的</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_Toc28960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6A002701">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_Toc20072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三、 量化范围</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_Toc20072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2F5B628">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_Toc23510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1. 功能单位或声明单位</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_Toc23510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3DCC884">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_Toc30828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2. 系统边界</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_Toc30828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3463E7C6">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_Toc30202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3. 取舍准则（截断</w:t>
      </w:r>
      <w:r>
        <w:rPr>
          <w:rFonts w:hint="default" w:ascii="Times New Roman Regular" w:hAnsi="Times New Roman Regular" w:eastAsia="宋体" w:cs="Times New Roman Regular"/>
          <w:bCs/>
          <w:sz w:val="22"/>
          <w:szCs w:val="36"/>
          <w:lang w:val="en-US" w:eastAsia="zh-CN"/>
        </w:rPr>
        <w:t xml:space="preserve"> cut-off</w:t>
      </w:r>
      <w:r>
        <w:rPr>
          <w:rFonts w:hint="default" w:ascii="Times New Roman Regular" w:hAnsi="Times New Roman Regular" w:eastAsia="宋体" w:cs="Times New Roman Regular"/>
          <w:bCs/>
          <w:sz w:val="22"/>
          <w:szCs w:val="36"/>
        </w:rPr>
        <w:t>）</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_Toc30202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5</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46550164">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_Toc23949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4. 时间范围</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_Toc23949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6</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240E45ED">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_Toc14220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5. 生产地点</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_Toc14220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6</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6EA825A6">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_Toc8984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四、 清单分析</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_Toc8984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7</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46DDF286">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_Toc12485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1. 数据来源说明</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_Toc12485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7</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8A6A544">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_Toc8189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2. 分配原则与程序</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_Toc8189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7</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7EABE1E9">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_Toc11787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3. 清单结果及计算</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_Toc11787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7</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73B2E53F">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_Toc3192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4. 数据质量评价</w:t>
      </w:r>
      <w:r>
        <w:rPr>
          <w:rFonts w:hint="default" w:ascii="Times New Roman Regular" w:hAnsi="Times New Roman Regular" w:eastAsia="宋体" w:cs="Times New Roman Regular"/>
          <w:bCs/>
          <w:sz w:val="22"/>
          <w:szCs w:val="36"/>
          <w:lang w:eastAsia="zh-CN"/>
        </w:rPr>
        <w:t>（</w:t>
      </w:r>
      <w:r>
        <w:rPr>
          <w:rFonts w:hint="default" w:ascii="Times New Roman Regular" w:hAnsi="Times New Roman Regular" w:eastAsia="宋体" w:cs="Times New Roman Regular"/>
          <w:bCs/>
          <w:sz w:val="22"/>
          <w:szCs w:val="36"/>
          <w:lang w:val="en-US" w:eastAsia="zh-CN"/>
        </w:rPr>
        <w:t>可选项</w:t>
      </w:r>
      <w:r>
        <w:rPr>
          <w:rFonts w:hint="default" w:ascii="Times New Roman Regular" w:hAnsi="Times New Roman Regular" w:eastAsia="宋体" w:cs="Times New Roman Regular"/>
          <w:bCs/>
          <w:sz w:val="22"/>
          <w:szCs w:val="36"/>
          <w:lang w:eastAsia="zh-CN"/>
        </w:rPr>
        <w:t>）</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_Toc3192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9</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3CDB4093">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_Toc32227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五、 影响评价</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_Toc32227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13</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5A6CFF11">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_Toc19360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1. 影响类型和特征化因子选择</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_Toc19360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13</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4BA52F59">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_Toc9757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2. 产品碳足迹结果计算</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_Toc9757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13</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90504D8">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_Toc3706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六、 结果解释</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_Toc3706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13</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03E4511C">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_Toc25878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1. 结果说明</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_Toc25878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13</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FDA95A4">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_Toc3222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2. 假设和局限性说明</w:t>
      </w:r>
      <w:r>
        <w:rPr>
          <w:rFonts w:hint="default" w:ascii="Times New Roman Regular" w:hAnsi="Times New Roman Regular" w:eastAsia="宋体" w:cs="Times New Roman Regular"/>
          <w:bCs/>
          <w:sz w:val="22"/>
          <w:szCs w:val="36"/>
          <w:lang w:eastAsia="zh-CN"/>
        </w:rPr>
        <w:t>（</w:t>
      </w:r>
      <w:r>
        <w:rPr>
          <w:rFonts w:hint="default" w:ascii="Times New Roman Regular" w:hAnsi="Times New Roman Regular" w:eastAsia="宋体" w:cs="Times New Roman Regular"/>
          <w:bCs/>
          <w:sz w:val="22"/>
          <w:szCs w:val="36"/>
          <w:lang w:val="en-US" w:eastAsia="zh-CN"/>
        </w:rPr>
        <w:t>可选项</w:t>
      </w:r>
      <w:r>
        <w:rPr>
          <w:rFonts w:hint="default" w:ascii="Times New Roman Regular" w:hAnsi="Times New Roman Regular" w:eastAsia="宋体" w:cs="Times New Roman Regular"/>
          <w:bCs/>
          <w:sz w:val="22"/>
          <w:szCs w:val="36"/>
          <w:lang w:eastAsia="zh-CN"/>
        </w:rPr>
        <w:t>）</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_Toc3222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15</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5DDA5BC9">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_Toc17609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3. 改进建议</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_Toc17609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15</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F473087">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_Toc15882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附件1. 参考文献</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_Toc15882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17</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6E0B5DA">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_Toc8942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附件2. 引用背景过程</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_Toc8942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18</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73B13874">
      <w:pPr>
        <w:spacing w:line="300" w:lineRule="auto"/>
        <w:rPr>
          <w:rFonts w:ascii="Times New Roman" w:hAnsi="Times New Roman" w:eastAsia="宋体"/>
        </w:rPr>
      </w:pPr>
      <w:r>
        <w:rPr>
          <w:rFonts w:hint="default" w:ascii="Times New Roman Regular" w:hAnsi="Times New Roman Regular" w:eastAsia="宋体" w:cs="Times New Roman Regular"/>
          <w:sz w:val="24"/>
          <w:szCs w:val="32"/>
        </w:rPr>
        <w:fldChar w:fldCharType="end"/>
      </w:r>
    </w:p>
    <w:p w14:paraId="70CFBC83">
      <w:pPr>
        <w:spacing w:line="360" w:lineRule="auto"/>
        <w:rPr>
          <w:rFonts w:ascii="Times New Roman" w:hAnsi="Times New Roman" w:eastAsia="宋体"/>
        </w:rPr>
        <w:sectPr>
          <w:headerReference r:id="rId3" w:type="default"/>
          <w:footerReference r:id="rId4" w:type="default"/>
          <w:pgSz w:w="11906" w:h="16838"/>
          <w:pgMar w:top="1440" w:right="1800" w:bottom="1440" w:left="1800" w:header="851" w:footer="992" w:gutter="0"/>
          <w:pgNumType w:fmt="lowerRoman" w:start="1"/>
          <w:cols w:space="425" w:num="1"/>
          <w:docGrid w:type="lines" w:linePitch="312" w:charSpace="0"/>
        </w:sectPr>
      </w:pPr>
    </w:p>
    <w:p w14:paraId="6384CFEE">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bookmarkStart w:id="0" w:name="_Toc30093"/>
      <w:r>
        <w:rPr>
          <w:rFonts w:hint="eastAsia" w:ascii="Times New Roman" w:hAnsi="Times New Roman" w:eastAsia="宋体"/>
          <w:b/>
          <w:bCs/>
          <w:color w:val="auto"/>
          <w:sz w:val="32"/>
          <w:szCs w:val="32"/>
        </w:rPr>
        <w:t>概况</w:t>
      </w:r>
      <w:bookmarkEnd w:id="0"/>
    </w:p>
    <w:p w14:paraId="7929BECA">
      <w:pPr>
        <w:pStyle w:val="3"/>
        <w:keepNext w:val="0"/>
        <w:keepLines w:val="0"/>
        <w:numPr>
          <w:ilvl w:val="0"/>
          <w:numId w:val="2"/>
        </w:numPr>
        <w:spacing w:before="80" w:line="360" w:lineRule="auto"/>
        <w:ind w:left="442" w:hanging="442"/>
        <w:rPr>
          <w:rFonts w:ascii="Times New Roman" w:hAnsi="Times New Roman" w:eastAsia="宋体"/>
          <w:b/>
          <w:bCs/>
          <w:color w:val="auto"/>
          <w:sz w:val="28"/>
          <w:szCs w:val="28"/>
        </w:rPr>
      </w:pPr>
      <w:bookmarkStart w:id="1" w:name="_Toc5243"/>
      <w:r>
        <w:rPr>
          <w:rFonts w:hint="eastAsia" w:ascii="Times New Roman" w:hAnsi="Times New Roman" w:eastAsia="宋体"/>
          <w:b/>
          <w:bCs/>
          <w:color w:val="auto"/>
          <w:sz w:val="28"/>
          <w:szCs w:val="28"/>
        </w:rPr>
        <w:t>生产者信息</w:t>
      </w:r>
      <w:bookmarkEnd w:id="1"/>
    </w:p>
    <w:p w14:paraId="518949B6">
      <w:pPr>
        <w:spacing w:line="360" w:lineRule="auto"/>
        <w:ind w:firstLine="480" w:firstLineChars="200"/>
        <w:rPr>
          <w:rFonts w:hint="eastAsia" w:ascii="Times New Roman" w:hAnsi="Times New Roman" w:eastAsia="宋体"/>
          <w:sz w:val="24"/>
          <w:szCs w:val="28"/>
          <w:lang w:eastAsia="zh-CN"/>
        </w:rPr>
      </w:pPr>
      <w:r>
        <w:rPr>
          <w:rFonts w:hint="eastAsia" w:ascii="Times New Roman" w:hAnsi="Times New Roman" w:eastAsia="宋体"/>
          <w:sz w:val="24"/>
          <w:szCs w:val="28"/>
        </w:rPr>
        <w:t>生产者名称：</w:t>
      </w:r>
      <w:r>
        <w:rPr>
          <w:rFonts w:hint="eastAsia" w:ascii="Times New Roman" w:hAnsi="Times New Roman" w:eastAsia="宋体"/>
          <w:sz w:val="24"/>
          <w:szCs w:val="28"/>
          <w:lang w:eastAsia="zh-CN"/>
        </w:rPr>
        <w:t>美亚高新材料股份有限公司</w:t>
      </w:r>
    </w:p>
    <w:p w14:paraId="1ADDAE8D">
      <w:pPr>
        <w:spacing w:line="360" w:lineRule="auto"/>
        <w:ind w:firstLine="480" w:firstLineChars="200"/>
        <w:rPr>
          <w:rFonts w:hint="eastAsia" w:ascii="Times New Roman" w:hAnsi="Times New Roman" w:eastAsia="宋体"/>
          <w:sz w:val="24"/>
          <w:szCs w:val="28"/>
          <w:lang w:eastAsia="zh-CN"/>
        </w:rPr>
      </w:pPr>
      <w:r>
        <w:rPr>
          <w:rFonts w:hint="eastAsia" w:ascii="Times New Roman" w:hAnsi="Times New Roman" w:eastAsia="宋体"/>
          <w:sz w:val="24"/>
          <w:szCs w:val="28"/>
        </w:rPr>
        <w:t>地址：淮南市谢家集区卧园路南侧</w:t>
      </w:r>
    </w:p>
    <w:p w14:paraId="457E0C1F">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法定代表人：吴长庚</w:t>
      </w:r>
    </w:p>
    <w:p w14:paraId="0FA3E43F">
      <w:pPr>
        <w:spacing w:line="360" w:lineRule="auto"/>
        <w:ind w:firstLine="480" w:firstLineChars="200"/>
        <w:rPr>
          <w:rFonts w:hint="default" w:ascii="Times New Roman" w:hAnsi="Times New Roman" w:eastAsia="宋体"/>
          <w:sz w:val="24"/>
          <w:szCs w:val="28"/>
          <w:lang w:val="en-US" w:eastAsia="zh-CN"/>
        </w:rPr>
      </w:pPr>
      <w:r>
        <w:rPr>
          <w:rFonts w:hint="eastAsia" w:ascii="Times New Roman" w:hAnsi="Times New Roman" w:eastAsia="宋体"/>
          <w:sz w:val="24"/>
          <w:szCs w:val="28"/>
        </w:rPr>
        <w:t>授权人（联系人）：</w:t>
      </w:r>
      <w:r>
        <w:rPr>
          <w:rFonts w:hint="eastAsia" w:ascii="Times New Roman" w:hAnsi="Times New Roman" w:eastAsia="宋体"/>
          <w:sz w:val="24"/>
          <w:szCs w:val="28"/>
          <w:lang w:val="en-US" w:eastAsia="zh-CN"/>
        </w:rPr>
        <w:t>唐保国</w:t>
      </w:r>
    </w:p>
    <w:p w14:paraId="1D77F658">
      <w:pPr>
        <w:spacing w:line="360" w:lineRule="auto"/>
        <w:ind w:firstLine="480" w:firstLineChars="200"/>
        <w:rPr>
          <w:rFonts w:hint="default" w:ascii="Times New Roman" w:hAnsi="Times New Roman" w:eastAsia="宋体"/>
          <w:sz w:val="24"/>
          <w:szCs w:val="28"/>
          <w:lang w:val="en-US" w:eastAsia="zh-CN"/>
        </w:rPr>
      </w:pPr>
      <w:r>
        <w:rPr>
          <w:rFonts w:hint="eastAsia" w:ascii="Times New Roman" w:hAnsi="Times New Roman" w:eastAsia="宋体"/>
          <w:sz w:val="24"/>
          <w:szCs w:val="28"/>
        </w:rPr>
        <w:t>联系电话：</w:t>
      </w:r>
      <w:r>
        <w:rPr>
          <w:rFonts w:hint="eastAsia" w:ascii="Times New Roman" w:hAnsi="Times New Roman" w:eastAsia="宋体"/>
          <w:sz w:val="24"/>
          <w:szCs w:val="28"/>
          <w:lang w:val="en-US" w:eastAsia="zh-CN"/>
        </w:rPr>
        <w:t>18605548863</w:t>
      </w:r>
    </w:p>
    <w:p w14:paraId="692A0EB1">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企业概况：美亚高新材料股份有限公司(以下简称“公司”)前身为淮南矿务局合成材料厂，原煤炭部支护材料定点生产企业，国家水煤浆工程技术研究中心淮南生产基地。2016年2月，经国家工商总局核准，更名为美亚高新材料股份有限公司。位于安徽淮南国家级高新技术产业开发区，注册资本5600万元。2015年4月挂牌新三板，证券简称：美亚高新，证券代码：832263。</w:t>
      </w:r>
    </w:p>
    <w:p w14:paraId="3D76B98D">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公司主要生产经营研发树脂锚固剂、金属锚杆、玻璃钢锚杆、矿用加固材料等矿用支护产品以及不饱和聚酯树脂、高效减水剂等系列产品，广泛应用于矿山、建筑、水利、水电等，曾用于长江三峡、黄河小浪底水利枢纽、青藏铁路、北京奥运场馆、上海世博会展馆、特大型煤矿等国家重点工程。</w:t>
      </w:r>
    </w:p>
    <w:p w14:paraId="555EF789">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50年来，公司跟进矿用支护先进技术发展，以国际化视野，先后与德国、英国、美国、澳大利亚、加拿大等国际专业化公司进行交流。加强与中国矿业大学、华东理工大学、安徽理工大学、煤炭科学研究总院等高等院所合作，不断改进技术，提升品质，取得了一系列行业领先的技术成果。自主研发了全长预应力锚固剂、超长双速锚固剂、早高强锚固剂、矿用化学加固材料等产品，累计拥有各项专利50多件，不断提升核心竞争力。</w:t>
      </w:r>
    </w:p>
    <w:p w14:paraId="6AA126AD">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作为树脂锚固剂行业标准主要起草（修订）单位之一，目前拥有自主核心技术自动化生产线十条，具备年产1亿支锚固剂能力，其工艺技术、装备、规模等均属国内一流、世界先进，曾荣获国家科技发明三等奖、国家科技进步三等奖、煤炭部科技进步一等奖和首届中国青年科技成果博览会金奖，安徽省高新技术产品、安徽名牌产品、安徽工业精品、安徽省首批次新材料，“美亚”为中国驰名商标，入选安徽省首批商标保护目录。</w:t>
      </w:r>
    </w:p>
    <w:p w14:paraId="2F119B5A">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公司先后被认定为国家高新技术企业，全国守合同重信用企业，全国煤炭环境保护优秀单位，全国煤矿支护先进单位，国家知识产权优势企业，全国模范职工之家，全国企业文化优秀成果二等奖，安徽省“专精特新”冠军企业、省博士后科研工作站、省企业技术中心、省化学锚固工程技术研究中心、省研发中心、省创新型企业、省产学研联合示范企业、省技术创新示范企业、省制造业高端品牌培育企业、省皖美品牌示范企业、省绿色工厂、省数字化车间，淮南市第四届和第十届市长质量奖等称号，入选首届长三角国际化品牌创新案例。</w:t>
      </w:r>
    </w:p>
    <w:p w14:paraId="39C92D3F">
      <w:pPr>
        <w:spacing w:line="360" w:lineRule="auto"/>
        <w:ind w:firstLine="480" w:firstLineChars="200"/>
        <w:rPr>
          <w:rFonts w:hint="default" w:ascii="Times New Roman" w:hAnsi="Times New Roman" w:eastAsia="宋体"/>
          <w:i w:val="0"/>
          <w:iCs w:val="0"/>
          <w:color w:val="auto"/>
          <w:sz w:val="24"/>
          <w:szCs w:val="28"/>
          <w:lang w:val="en-US" w:eastAsia="zh-CN"/>
        </w:rPr>
      </w:pPr>
      <w:r>
        <w:rPr>
          <w:rFonts w:hint="eastAsia" w:ascii="Times New Roman" w:hAnsi="Times New Roman" w:eastAsia="宋体"/>
          <w:sz w:val="24"/>
          <w:szCs w:val="28"/>
        </w:rPr>
        <w:t>公司以打造百年企业、百年产业为愿景，创建新文化，打造新优势，提升软实力，确立了“做好企业、造福职工，奉献社会”的企业宗旨，“争夺中国制造锚固剂冠军”的发展战略，“创业、创新、创造”的企业精神等企业理念，建设本土化本质化的企业文化，不断增强企业的凝聚力、向心力、竞争力，推进企业可持续发展，永葆基业长青。</w:t>
      </w:r>
    </w:p>
    <w:p w14:paraId="3BA6DEB5">
      <w:pPr>
        <w:pStyle w:val="16"/>
        <w:ind w:left="0" w:leftChars="0" w:firstLine="0" w:firstLineChars="0"/>
        <w:jc w:val="center"/>
        <w:rPr>
          <w:rFonts w:hint="default"/>
          <w:lang w:val="en-US"/>
        </w:rPr>
      </w:pPr>
      <w:r>
        <w:rPr>
          <w:snapToGrid/>
        </w:rPr>
        <w:drawing>
          <wp:inline distT="0" distB="0" distL="0" distR="0">
            <wp:extent cx="4212590" cy="2807335"/>
            <wp:effectExtent l="0" t="0" r="3810" b="12065"/>
            <wp:docPr id="9" name="图片 9" descr="C:\Documents and Settings\Administrator\桌面\中外管理配图\公司图片\DJI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ocuments and Settings\Administrator\桌面\中外管理配图\公司图片\DJI_0373.JPG"/>
                    <pic:cNvPicPr>
                      <a:picLocks noChangeAspect="1" noChangeArrowheads="1"/>
                    </pic:cNvPicPr>
                  </pic:nvPicPr>
                  <pic:blipFill>
                    <a:blip r:embed="rId8" cstate="print"/>
                    <a:srcRect/>
                    <a:stretch>
                      <a:fillRect/>
                    </a:stretch>
                  </pic:blipFill>
                  <pic:spPr>
                    <a:xfrm>
                      <a:off x="0" y="0"/>
                      <a:ext cx="4220711" cy="2812882"/>
                    </a:xfrm>
                    <a:prstGeom prst="rect">
                      <a:avLst/>
                    </a:prstGeom>
                    <a:noFill/>
                    <a:ln w="9525">
                      <a:noFill/>
                      <a:miter lim="800000"/>
                      <a:headEnd/>
                      <a:tailEnd/>
                    </a:ln>
                  </pic:spPr>
                </pic:pic>
              </a:graphicData>
            </a:graphic>
          </wp:inline>
        </w:drawing>
      </w:r>
    </w:p>
    <w:p w14:paraId="668AEF67">
      <w:pPr>
        <w:spacing w:line="360" w:lineRule="auto"/>
        <w:jc w:val="center"/>
        <w:rPr>
          <w:rFonts w:hint="eastAsia" w:ascii="Times New Roman" w:hAnsi="Times New Roman" w:eastAsia="宋体"/>
          <w:sz w:val="24"/>
          <w:szCs w:val="28"/>
        </w:rPr>
      </w:pPr>
      <w:r>
        <w:rPr>
          <w:rFonts w:hint="eastAsia" w:ascii="Times New Roman" w:hAnsi="Times New Roman" w:eastAsia="宋体"/>
          <w:b/>
          <w:bCs/>
          <w:i w:val="0"/>
          <w:iCs w:val="0"/>
          <w:color w:val="auto"/>
          <w:lang w:val="en-US" w:eastAsia="zh-CN"/>
        </w:rPr>
        <w:t>图1-1 美亚高新材料股份</w:t>
      </w:r>
      <w:r>
        <w:rPr>
          <w:rFonts w:hint="default" w:ascii="Times New Roman" w:hAnsi="Times New Roman" w:eastAsia="宋体"/>
          <w:b/>
          <w:bCs/>
          <w:i w:val="0"/>
          <w:iCs w:val="0"/>
          <w:color w:val="auto"/>
          <w:lang w:val="en-US" w:eastAsia="zh-CN"/>
        </w:rPr>
        <w:t>有限公司</w:t>
      </w:r>
    </w:p>
    <w:p w14:paraId="08590BD9">
      <w:pPr>
        <w:pStyle w:val="3"/>
        <w:keepNext w:val="0"/>
        <w:keepLines w:val="0"/>
        <w:numPr>
          <w:ilvl w:val="0"/>
          <w:numId w:val="2"/>
        </w:numPr>
        <w:spacing w:before="80" w:line="360" w:lineRule="auto"/>
        <w:ind w:left="442" w:hanging="442"/>
        <w:rPr>
          <w:rFonts w:ascii="Times New Roman" w:hAnsi="Times New Roman" w:eastAsia="宋体"/>
          <w:b/>
          <w:bCs/>
          <w:color w:val="auto"/>
          <w:sz w:val="28"/>
          <w:szCs w:val="28"/>
        </w:rPr>
      </w:pPr>
      <w:bookmarkStart w:id="2" w:name="_Toc8527"/>
      <w:r>
        <w:rPr>
          <w:rFonts w:hint="eastAsia" w:ascii="Times New Roman" w:hAnsi="Times New Roman" w:eastAsia="宋体"/>
          <w:b/>
          <w:bCs/>
          <w:color w:val="auto"/>
          <w:sz w:val="28"/>
          <w:szCs w:val="28"/>
        </w:rPr>
        <w:t>产品信息</w:t>
      </w:r>
      <w:bookmarkEnd w:id="2"/>
    </w:p>
    <w:p w14:paraId="5B2847F1">
      <w:pPr>
        <w:spacing w:line="360" w:lineRule="auto"/>
        <w:ind w:firstLine="480" w:firstLineChars="200"/>
        <w:rPr>
          <w:rFonts w:hint="eastAsia" w:ascii="Times New Roman" w:hAnsi="Times New Roman" w:eastAsia="宋体"/>
          <w:sz w:val="24"/>
          <w:szCs w:val="28"/>
          <w:lang w:eastAsia="zh-CN"/>
        </w:rPr>
      </w:pPr>
      <w:r>
        <w:rPr>
          <w:rFonts w:hint="eastAsia" w:ascii="Times New Roman" w:hAnsi="Times New Roman" w:eastAsia="宋体"/>
          <w:sz w:val="24"/>
          <w:szCs w:val="28"/>
        </w:rPr>
        <w:t>产品名称：</w:t>
      </w:r>
      <w:r>
        <w:rPr>
          <w:rFonts w:hint="eastAsia" w:ascii="Times New Roman" w:hAnsi="Times New Roman" w:eastAsia="宋体"/>
          <w:sz w:val="24"/>
          <w:szCs w:val="28"/>
          <w:lang w:eastAsia="zh-CN"/>
        </w:rPr>
        <w:t>树脂锚固剂</w:t>
      </w:r>
    </w:p>
    <w:p w14:paraId="41358DF1">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产品功能：树脂锚固剂具有常温固化快，粘结强度高，锚固力可靠和耐久性好等特性，尤其适宜机械化快速施工。锚固基体：岩石、煤岩体、混凝土等</w:t>
      </w:r>
      <w:r>
        <w:rPr>
          <w:rFonts w:hint="eastAsia" w:ascii="Times New Roman" w:hAnsi="Times New Roman" w:eastAsia="宋体"/>
          <w:sz w:val="24"/>
          <w:szCs w:val="28"/>
          <w:lang w:eastAsia="zh-CN"/>
        </w:rPr>
        <w:t>。</w:t>
      </w:r>
      <w:r>
        <w:rPr>
          <w:rFonts w:hint="eastAsia" w:ascii="Times New Roman" w:hAnsi="Times New Roman" w:eastAsia="宋体"/>
          <w:sz w:val="24"/>
          <w:szCs w:val="28"/>
        </w:rPr>
        <w:t>适用范围：地下工程及边坡、陡壁锚喷支护、矿山立井装备安装及锚联网支护、建筑构件连接、设备基础锚固等。</w:t>
      </w:r>
    </w:p>
    <w:p w14:paraId="3035502D">
      <w:pPr>
        <w:spacing w:line="360" w:lineRule="auto"/>
        <w:ind w:firstLine="480" w:firstLineChars="200"/>
        <w:rPr>
          <w:rFonts w:hint="default" w:ascii="Times New Roman" w:hAnsi="Times New Roman" w:eastAsia="宋体"/>
          <w:sz w:val="24"/>
          <w:szCs w:val="28"/>
          <w:lang w:val="en-US" w:eastAsia="zh-CN"/>
        </w:rPr>
      </w:pPr>
      <w:r>
        <w:rPr>
          <w:rFonts w:hint="eastAsia" w:ascii="Times New Roman" w:hAnsi="Times New Roman" w:eastAsia="宋体"/>
          <w:sz w:val="24"/>
          <w:szCs w:val="28"/>
        </w:rPr>
        <w:t>产品介绍：</w:t>
      </w:r>
      <w:r>
        <w:rPr>
          <w:rFonts w:hint="eastAsia" w:ascii="Times New Roman" w:hAnsi="Times New Roman" w:eastAsia="宋体"/>
          <w:sz w:val="24"/>
          <w:szCs w:val="28"/>
          <w:lang w:val="en-US" w:eastAsia="zh-CN"/>
        </w:rPr>
        <w:t>树脂锚固剂是以不饱和聚酯树脂、固化剂、促进剂等材料配制而成的双组分胶泥状粘接材料，主要用于煤矿井巷支护、隧道施工、建筑结构加固及设备基础固定等领域。</w:t>
      </w:r>
    </w:p>
    <w:p w14:paraId="2EF45F0C">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产品图片：</w:t>
      </w:r>
    </w:p>
    <w:p w14:paraId="12CBD386">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4104005" cy="2499360"/>
            <wp:effectExtent l="0" t="0" r="10795" b="15240"/>
            <wp:docPr id="10" name="图片 10" descr="锚固剂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锚固剂产品"/>
                    <pic:cNvPicPr>
                      <a:picLocks noChangeAspect="1"/>
                    </pic:cNvPicPr>
                  </pic:nvPicPr>
                  <pic:blipFill>
                    <a:blip r:embed="rId9"/>
                    <a:stretch>
                      <a:fillRect/>
                    </a:stretch>
                  </pic:blipFill>
                  <pic:spPr>
                    <a:xfrm>
                      <a:off x="0" y="0"/>
                      <a:ext cx="4104005" cy="2499360"/>
                    </a:xfrm>
                    <a:prstGeom prst="rect">
                      <a:avLst/>
                    </a:prstGeom>
                  </pic:spPr>
                </pic:pic>
              </a:graphicData>
            </a:graphic>
          </wp:inline>
        </w:drawing>
      </w:r>
    </w:p>
    <w:p w14:paraId="2C32D3CD">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2879725" cy="3839845"/>
            <wp:effectExtent l="0" t="0" r="15875" b="20955"/>
            <wp:docPr id="12" name="图片 12" descr="/Users/zhaofeng/Library/Containers/com.kingsoft.wpsoffice.mac/Data/tmp/picturecompress_202510221246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ofeng/Library/Containers/com.kingsoft.wpsoffice.mac/Data/tmp/picturecompress_20251022124620/output_1.jpgoutput_1"/>
                    <pic:cNvPicPr>
                      <a:picLocks noChangeAspect="1"/>
                    </pic:cNvPicPr>
                  </pic:nvPicPr>
                  <pic:blipFill>
                    <a:blip r:embed="rId10"/>
                    <a:stretch>
                      <a:fillRect/>
                    </a:stretch>
                  </pic:blipFill>
                  <pic:spPr>
                    <a:xfrm>
                      <a:off x="0" y="0"/>
                      <a:ext cx="2879725" cy="3839845"/>
                    </a:xfrm>
                    <a:prstGeom prst="rect">
                      <a:avLst/>
                    </a:prstGeom>
                  </pic:spPr>
                </pic:pic>
              </a:graphicData>
            </a:graphic>
          </wp:inline>
        </w:drawing>
      </w:r>
    </w:p>
    <w:p w14:paraId="417A7931">
      <w:pPr>
        <w:spacing w:line="360" w:lineRule="auto"/>
        <w:jc w:val="center"/>
      </w:pPr>
      <w:r>
        <w:rPr>
          <w:rFonts w:hint="eastAsia" w:ascii="Times New Roman" w:hAnsi="Times New Roman" w:eastAsia="宋体"/>
          <w:b/>
          <w:bCs/>
          <w:i w:val="0"/>
          <w:iCs w:val="0"/>
          <w:color w:val="auto"/>
          <w:lang w:val="en-US" w:eastAsia="zh-CN"/>
        </w:rPr>
        <w:t>图2-1 树脂锚固剂</w:t>
      </w:r>
    </w:p>
    <w:p w14:paraId="7345031C">
      <w:pPr>
        <w:pStyle w:val="3"/>
        <w:keepNext w:val="0"/>
        <w:keepLines w:val="0"/>
        <w:numPr>
          <w:ilvl w:val="0"/>
          <w:numId w:val="2"/>
        </w:numPr>
        <w:spacing w:before="80" w:line="360" w:lineRule="auto"/>
        <w:ind w:left="442" w:hanging="442"/>
        <w:rPr>
          <w:rFonts w:ascii="Times New Roman" w:hAnsi="Times New Roman" w:eastAsia="宋体"/>
          <w:b/>
          <w:bCs/>
          <w:color w:val="auto"/>
          <w:sz w:val="28"/>
          <w:szCs w:val="28"/>
        </w:rPr>
      </w:pPr>
      <w:bookmarkStart w:id="3" w:name="_Toc11173"/>
      <w:r>
        <w:rPr>
          <w:rFonts w:hint="eastAsia" w:ascii="Times New Roman" w:hAnsi="Times New Roman" w:eastAsia="宋体"/>
          <w:b/>
          <w:bCs/>
          <w:color w:val="auto"/>
          <w:sz w:val="28"/>
          <w:szCs w:val="28"/>
        </w:rPr>
        <w:t>量化方法</w:t>
      </w:r>
      <w:bookmarkEnd w:id="3"/>
    </w:p>
    <w:p w14:paraId="02B6EBB7">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依据标准：GB/T 24067-2024《温室气体 产品碳足迹 量化要求和指南》</w:t>
      </w:r>
    </w:p>
    <w:p w14:paraId="3995325F">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ISO 14067:2018 Carbon footprint of products — Requirements and guidelines for quantification and communication</w:t>
      </w:r>
    </w:p>
    <w:p w14:paraId="2BBA4140">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bookmarkStart w:id="4" w:name="_Toc28960"/>
      <w:r>
        <w:rPr>
          <w:rFonts w:hint="eastAsia" w:ascii="Times New Roman" w:hAnsi="Times New Roman" w:eastAsia="宋体"/>
          <w:b/>
          <w:bCs/>
          <w:color w:val="auto"/>
          <w:sz w:val="32"/>
          <w:szCs w:val="32"/>
        </w:rPr>
        <w:t>量化目的</w:t>
      </w:r>
      <w:bookmarkEnd w:id="4"/>
    </w:p>
    <w:p w14:paraId="01259FA1">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rPr>
        <w:t>结合取舍原则，通过量化产品生命周期或选定过程的所有显著的GHG排放量和清除量，计算产品对全球变暖的潜在贡献（以二氧化碳当量（CO</w:t>
      </w:r>
      <w:r>
        <w:rPr>
          <w:rFonts w:hint="default" w:ascii="Times New Roman Regular" w:hAnsi="Times New Roman Regular" w:eastAsia="宋体" w:cs="Times New Roman Regular"/>
          <w:sz w:val="24"/>
          <w:szCs w:val="24"/>
          <w:vertAlign w:val="subscript"/>
        </w:rPr>
        <w:t>2</w:t>
      </w:r>
      <w:r>
        <w:rPr>
          <w:rFonts w:hint="default" w:ascii="Times New Roman Regular" w:hAnsi="Times New Roman Regular" w:eastAsia="宋体" w:cs="Times New Roman Regular"/>
          <w:sz w:val="24"/>
          <w:szCs w:val="24"/>
        </w:rPr>
        <w:t>e）表示）。</w:t>
      </w:r>
      <w:r>
        <w:rPr>
          <w:rFonts w:hint="default" w:ascii="Times New Roman Regular" w:hAnsi="Times New Roman Regular" w:eastAsia="宋体" w:cs="Times New Roman Regular"/>
          <w:sz w:val="24"/>
          <w:szCs w:val="24"/>
          <w:lang w:val="en-US" w:eastAsia="zh-CN"/>
        </w:rPr>
        <w:t>明确</w:t>
      </w:r>
      <w:r>
        <w:rPr>
          <w:rFonts w:hint="eastAsia" w:ascii="Times New Roman" w:hAnsi="Times New Roman" w:eastAsia="宋体"/>
          <w:sz w:val="24"/>
          <w:szCs w:val="28"/>
          <w:lang w:eastAsia="zh-CN"/>
        </w:rPr>
        <w:t>树脂锚固剂</w:t>
      </w:r>
      <w:r>
        <w:rPr>
          <w:rFonts w:hint="default" w:ascii="Times New Roman Regular" w:hAnsi="Times New Roman Regular" w:eastAsia="宋体" w:cs="Times New Roman Regular"/>
          <w:sz w:val="24"/>
          <w:szCs w:val="24"/>
          <w:lang w:val="en-US" w:eastAsia="zh-CN"/>
        </w:rPr>
        <w:t>产品碳足迹有利于：</w:t>
      </w:r>
    </w:p>
    <w:p w14:paraId="58FDA07D">
      <w:pPr>
        <w:numPr>
          <w:ilvl w:val="0"/>
          <w:numId w:val="3"/>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掌握产品在原材料获取、原材料储运、生产加工等环节的温室气体排放情况，为提出减排方案提出依据；</w:t>
      </w:r>
    </w:p>
    <w:p w14:paraId="07811433">
      <w:pPr>
        <w:numPr>
          <w:ilvl w:val="0"/>
          <w:numId w:val="3"/>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满足客户构建绿色供应链的相关要求；</w:t>
      </w:r>
    </w:p>
    <w:p w14:paraId="47FB10D1">
      <w:pPr>
        <w:numPr>
          <w:ilvl w:val="0"/>
          <w:numId w:val="3"/>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为公众提供产品声明或信息披露提供产品碳足迹结果；</w:t>
      </w:r>
    </w:p>
    <w:p w14:paraId="24B17199">
      <w:pPr>
        <w:numPr>
          <w:ilvl w:val="0"/>
          <w:numId w:val="3"/>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满足相关法律法规和标准要求。</w:t>
      </w:r>
    </w:p>
    <w:p w14:paraId="23660CD1">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bookmarkStart w:id="5" w:name="_Toc20072"/>
      <w:r>
        <w:rPr>
          <w:rFonts w:hint="eastAsia" w:ascii="Times New Roman" w:hAnsi="Times New Roman" w:eastAsia="宋体"/>
          <w:b/>
          <w:bCs/>
          <w:color w:val="auto"/>
          <w:sz w:val="32"/>
          <w:szCs w:val="32"/>
        </w:rPr>
        <w:t>量化范围</w:t>
      </w:r>
      <w:bookmarkEnd w:id="5"/>
    </w:p>
    <w:p w14:paraId="1D067C3A">
      <w:pPr>
        <w:pStyle w:val="3"/>
        <w:keepNext w:val="0"/>
        <w:keepLines w:val="0"/>
        <w:numPr>
          <w:ilvl w:val="0"/>
          <w:numId w:val="4"/>
        </w:numPr>
        <w:spacing w:before="80" w:line="360" w:lineRule="auto"/>
        <w:rPr>
          <w:rFonts w:ascii="Times New Roman" w:hAnsi="Times New Roman" w:eastAsia="宋体"/>
          <w:b/>
          <w:bCs/>
          <w:color w:val="auto"/>
          <w:sz w:val="28"/>
          <w:szCs w:val="28"/>
        </w:rPr>
      </w:pPr>
      <w:bookmarkStart w:id="6" w:name="_Toc23510"/>
      <w:r>
        <w:rPr>
          <w:rFonts w:hint="eastAsia" w:ascii="Times New Roman" w:hAnsi="Times New Roman" w:eastAsia="宋体"/>
          <w:b/>
          <w:bCs/>
          <w:color w:val="auto"/>
          <w:sz w:val="28"/>
          <w:szCs w:val="28"/>
        </w:rPr>
        <w:t>功能单位或声明单位</w:t>
      </w:r>
      <w:bookmarkEnd w:id="6"/>
    </w:p>
    <w:p w14:paraId="3B11269A">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本报告系统边界为部分生命周期，报告产品以</w:t>
      </w:r>
      <w:r>
        <w:rPr>
          <w:rFonts w:hint="eastAsia" w:ascii="Times New Roman" w:hAnsi="Times New Roman" w:eastAsia="宋体"/>
          <w:sz w:val="24"/>
          <w:szCs w:val="28"/>
          <w:u w:val="single"/>
          <w:lang w:val="en-US" w:eastAsia="zh-CN"/>
        </w:rPr>
        <w:t xml:space="preserve"> </w:t>
      </w:r>
      <w:r>
        <w:rPr>
          <w:rFonts w:hint="default" w:ascii="Times New Roman" w:hAnsi="Times New Roman" w:eastAsia="宋体"/>
          <w:sz w:val="24"/>
          <w:szCs w:val="28"/>
          <w:u w:val="single"/>
          <w:lang w:val="en-US" w:eastAsia="zh-CN"/>
        </w:rPr>
        <w:t>1</w:t>
      </w:r>
      <w:r>
        <w:rPr>
          <w:rFonts w:hint="eastAsia" w:ascii="Times New Roman" w:hAnsi="Times New Roman" w:eastAsia="宋体"/>
          <w:sz w:val="24"/>
          <w:szCs w:val="28"/>
          <w:u w:val="single"/>
          <w:lang w:val="en-US" w:eastAsia="zh-CN"/>
        </w:rPr>
        <w:t>吨树脂锚固剂</w:t>
      </w:r>
      <w:r>
        <w:rPr>
          <w:rFonts w:hint="eastAsia" w:ascii="Times New Roman" w:hAnsi="Times New Roman" w:eastAsia="宋体"/>
          <w:sz w:val="24"/>
          <w:szCs w:val="28"/>
        </w:rPr>
        <w:t>为声明单位。</w:t>
      </w:r>
    </w:p>
    <w:p w14:paraId="1C02C334">
      <w:pPr>
        <w:pStyle w:val="3"/>
        <w:keepNext w:val="0"/>
        <w:keepLines w:val="0"/>
        <w:numPr>
          <w:ilvl w:val="0"/>
          <w:numId w:val="4"/>
        </w:numPr>
        <w:spacing w:before="80" w:line="360" w:lineRule="auto"/>
        <w:rPr>
          <w:rFonts w:ascii="Times New Roman" w:hAnsi="Times New Roman" w:eastAsia="宋体"/>
          <w:b/>
          <w:bCs/>
          <w:color w:val="auto"/>
          <w:sz w:val="28"/>
          <w:szCs w:val="28"/>
        </w:rPr>
      </w:pPr>
      <w:bookmarkStart w:id="7" w:name="_Toc30828"/>
      <w:r>
        <w:rPr>
          <w:rFonts w:hint="eastAsia" w:ascii="Times New Roman" w:hAnsi="Times New Roman" w:eastAsia="宋体"/>
          <w:b/>
          <w:bCs/>
          <w:color w:val="auto"/>
          <w:sz w:val="28"/>
          <w:szCs w:val="28"/>
        </w:rPr>
        <w:t>系统边界</w:t>
      </w:r>
      <w:bookmarkEnd w:id="7"/>
    </w:p>
    <w:p w14:paraId="034B4EE0">
      <w:pPr>
        <w:spacing w:line="360" w:lineRule="auto"/>
        <w:rPr>
          <w:rFonts w:ascii="Times New Roman" w:hAnsi="Times New Roman" w:eastAsia="宋体"/>
          <w:sz w:val="24"/>
          <w:szCs w:val="24"/>
        </w:rPr>
      </w:pPr>
      <w:r>
        <w:rPr>
          <w:rFonts w:hint="eastAsia" w:ascii="Segoe UI Symbol" w:hAnsi="Segoe UI Symbol" w:eastAsia="宋体" w:cs="Segoe UI Symbol"/>
          <w:sz w:val="24"/>
          <w:szCs w:val="24"/>
          <w:lang w:eastAsia="zh-CN"/>
        </w:rPr>
        <w:t>☑</w:t>
      </w:r>
      <w:r>
        <w:rPr>
          <w:rFonts w:hint="eastAsia" w:ascii="Times New Roman" w:hAnsi="Times New Roman" w:eastAsia="宋体"/>
          <w:sz w:val="24"/>
          <w:szCs w:val="24"/>
        </w:rPr>
        <w:t xml:space="preserve"> 原材料获取阶段    </w:t>
      </w:r>
      <w:r>
        <w:rPr>
          <w:rFonts w:hint="eastAsia" w:ascii="Segoe UI Symbol" w:hAnsi="Segoe UI Symbol" w:eastAsia="宋体" w:cs="Segoe UI Symbol"/>
          <w:sz w:val="24"/>
          <w:szCs w:val="24"/>
          <w:lang w:eastAsia="zh-CN"/>
        </w:rPr>
        <w:t>☑</w:t>
      </w:r>
      <w:r>
        <w:rPr>
          <w:rFonts w:hint="eastAsia" w:ascii="Times New Roman" w:hAnsi="Times New Roman" w:eastAsia="宋体"/>
          <w:sz w:val="24"/>
          <w:szCs w:val="24"/>
        </w:rPr>
        <w:t xml:space="preserve"> 生产阶段    □运输（交付）阶段</w:t>
      </w:r>
    </w:p>
    <w:p w14:paraId="310772E4">
      <w:pPr>
        <w:spacing w:line="360" w:lineRule="auto"/>
        <w:rPr>
          <w:rFonts w:ascii="Times New Roman" w:hAnsi="Times New Roman" w:eastAsia="宋体"/>
          <w:sz w:val="24"/>
          <w:szCs w:val="24"/>
        </w:rPr>
      </w:pPr>
      <w:r>
        <w:rPr>
          <w:rFonts w:hint="eastAsia" w:ascii="Times New Roman" w:hAnsi="Times New Roman" w:eastAsia="宋体"/>
          <w:sz w:val="24"/>
          <w:szCs w:val="24"/>
        </w:rPr>
        <w:t>□ 使用阶段    □ 生命末期阶段</w:t>
      </w:r>
    </w:p>
    <w:p w14:paraId="05CF55DF">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系统边界图：</w:t>
      </w:r>
    </w:p>
    <w:p w14:paraId="63E36334">
      <w:pP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108575" cy="3820160"/>
            <wp:effectExtent l="0" t="0" r="22225" b="15240"/>
            <wp:docPr id="17" name="图片 17" descr="/Users/zhaofeng/Library/Containers/com.kingsoft.wpsoffice.mac/Data/tmp/photoeditapp/2025102821375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aofeng/Library/Containers/com.kingsoft.wpsoffice.mac/Data/tmp/photoeditapp/20251028213758/temp.pngtemp"/>
                    <pic:cNvPicPr>
                      <a:picLocks noChangeAspect="1"/>
                    </pic:cNvPicPr>
                  </pic:nvPicPr>
                  <pic:blipFill>
                    <a:blip r:embed="rId11"/>
                    <a:srcRect t="2858"/>
                    <a:stretch>
                      <a:fillRect/>
                    </a:stretch>
                  </pic:blipFill>
                  <pic:spPr>
                    <a:xfrm>
                      <a:off x="0" y="0"/>
                      <a:ext cx="5108575" cy="3820160"/>
                    </a:xfrm>
                    <a:prstGeom prst="rect">
                      <a:avLst/>
                    </a:prstGeom>
                  </pic:spPr>
                </pic:pic>
              </a:graphicData>
            </a:graphic>
          </wp:inline>
        </w:drawing>
      </w:r>
    </w:p>
    <w:p w14:paraId="7D88E047">
      <w:pPr>
        <w:spacing w:line="360" w:lineRule="auto"/>
        <w:jc w:val="center"/>
        <w:rPr>
          <w:rFonts w:hint="eastAsia" w:ascii="Times New Roman" w:hAnsi="Times New Roman" w:eastAsia="宋体"/>
          <w:b/>
          <w:bCs/>
          <w:i w:val="0"/>
          <w:iCs w:val="0"/>
          <w:color w:val="auto"/>
          <w:lang w:val="en-US" w:eastAsia="zh-CN"/>
        </w:rPr>
      </w:pPr>
      <w:r>
        <w:rPr>
          <w:rFonts w:hint="eastAsia" w:ascii="Times New Roman" w:hAnsi="Times New Roman" w:eastAsia="宋体"/>
          <w:b/>
          <w:bCs/>
          <w:i w:val="0"/>
          <w:iCs w:val="0"/>
          <w:color w:val="auto"/>
          <w:lang w:val="en-US" w:eastAsia="zh-CN"/>
        </w:rPr>
        <w:t>图 3-1 产品碳足迹量化系统边界图</w:t>
      </w:r>
    </w:p>
    <w:p w14:paraId="6980BC04">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以下单元过程排除在系统边界外：</w:t>
      </w:r>
    </w:p>
    <w:p w14:paraId="06631728">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各过程的人力输入；</w:t>
      </w:r>
    </w:p>
    <w:p w14:paraId="55537A52">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生产设备、建筑物和其他资本货物的制造；</w:t>
      </w:r>
    </w:p>
    <w:p w14:paraId="22F951C3">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员工生活、通勤等活动产生的能源消耗；</w:t>
      </w:r>
    </w:p>
    <w:p w14:paraId="4F979DDD">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办公室、食堂、澡堂等生产相关服务设施所产生的能源消耗；</w:t>
      </w:r>
    </w:p>
    <w:p w14:paraId="02BD83E0">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研究和开发活动；</w:t>
      </w:r>
    </w:p>
    <w:p w14:paraId="75AAD66A">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人、畜力提供的运输。</w:t>
      </w:r>
    </w:p>
    <w:p w14:paraId="756581A9">
      <w:pPr>
        <w:pStyle w:val="3"/>
        <w:keepNext w:val="0"/>
        <w:keepLines w:val="0"/>
        <w:numPr>
          <w:ilvl w:val="0"/>
          <w:numId w:val="4"/>
        </w:numPr>
        <w:spacing w:before="80" w:line="360" w:lineRule="auto"/>
        <w:rPr>
          <w:rFonts w:ascii="Times New Roman" w:hAnsi="Times New Roman" w:eastAsia="宋体"/>
          <w:b/>
          <w:bCs/>
          <w:color w:val="auto"/>
          <w:sz w:val="28"/>
          <w:szCs w:val="28"/>
        </w:rPr>
      </w:pPr>
      <w:bookmarkStart w:id="8" w:name="_Toc30202"/>
      <w:r>
        <w:rPr>
          <w:rFonts w:hint="eastAsia" w:ascii="Times New Roman" w:hAnsi="Times New Roman" w:eastAsia="宋体"/>
          <w:b/>
          <w:bCs/>
          <w:color w:val="auto"/>
          <w:sz w:val="28"/>
          <w:szCs w:val="28"/>
        </w:rPr>
        <w:t>取舍准则（截断</w:t>
      </w:r>
      <w:r>
        <w:rPr>
          <w:rFonts w:hint="eastAsia" w:ascii="Times New Roman" w:hAnsi="Times New Roman" w:eastAsia="宋体"/>
          <w:b/>
          <w:bCs/>
          <w:color w:val="auto"/>
          <w:sz w:val="28"/>
          <w:szCs w:val="28"/>
          <w:lang w:val="en-US" w:eastAsia="zh-CN"/>
        </w:rPr>
        <w:t xml:space="preserve"> cut-off</w:t>
      </w:r>
      <w:r>
        <w:rPr>
          <w:rFonts w:hint="eastAsia" w:ascii="Times New Roman" w:hAnsi="Times New Roman" w:eastAsia="宋体"/>
          <w:b/>
          <w:bCs/>
          <w:color w:val="auto"/>
          <w:sz w:val="28"/>
          <w:szCs w:val="28"/>
        </w:rPr>
        <w:t>）</w:t>
      </w:r>
      <w:bookmarkEnd w:id="8"/>
    </w:p>
    <w:p w14:paraId="002F5EED">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采用的取舍准则以</w:t>
      </w:r>
      <w:r>
        <w:rPr>
          <w:rFonts w:hint="eastAsia" w:ascii="Times New Roman" w:hAnsi="Times New Roman" w:eastAsia="宋体"/>
          <w:i w:val="0"/>
          <w:iCs w:val="0"/>
          <w:color w:val="auto"/>
          <w:sz w:val="24"/>
          <w:szCs w:val="24"/>
          <w:u w:val="single"/>
          <w:lang w:val="en-US" w:eastAsia="zh-CN"/>
        </w:rPr>
        <w:t>GB/T 24067-2024、ISO 14067:2018</w:t>
      </w:r>
      <w:r>
        <w:rPr>
          <w:rFonts w:hint="eastAsia" w:ascii="Times New Roman" w:hAnsi="Times New Roman" w:eastAsia="宋体"/>
          <w:sz w:val="24"/>
          <w:szCs w:val="24"/>
        </w:rPr>
        <w:t>为依据，具体规则如下：</w:t>
      </w:r>
    </w:p>
    <w:p w14:paraId="50B1ECFF">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一般来说，产品碳足迹研究量化应包括生产树脂锚固剂产品体系的所有原材料投入、工艺过程、能源消耗等排放活动。但当个别排放源或原材料在某一单位过程中的碳足迹无显著贡献时，可基于实际情况将其排除在外，并应将舍弃的数据清单及原因在产品碳足迹报告中予以说明。</w:t>
      </w:r>
    </w:p>
    <w:p w14:paraId="3ED637B3">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在产品碳足迹量化过程中，若单一排放源排放量小于1%，可被舍弃，但所舍弃环节总的影响不应超过产品碳足迹总量的5%。</w:t>
      </w:r>
    </w:p>
    <w:p w14:paraId="3459521C">
      <w:pPr>
        <w:pStyle w:val="3"/>
        <w:keepNext w:val="0"/>
        <w:keepLines w:val="0"/>
        <w:numPr>
          <w:ilvl w:val="0"/>
          <w:numId w:val="4"/>
        </w:numPr>
        <w:spacing w:before="80" w:line="360" w:lineRule="auto"/>
        <w:rPr>
          <w:rFonts w:ascii="Times New Roman" w:hAnsi="Times New Roman" w:eastAsia="宋体"/>
          <w:b/>
          <w:bCs/>
          <w:color w:val="auto"/>
          <w:sz w:val="28"/>
          <w:szCs w:val="28"/>
        </w:rPr>
      </w:pPr>
      <w:bookmarkStart w:id="9" w:name="_Toc23949"/>
      <w:r>
        <w:rPr>
          <w:rFonts w:hint="eastAsia" w:ascii="Times New Roman" w:hAnsi="Times New Roman" w:eastAsia="宋体"/>
          <w:b/>
          <w:bCs/>
          <w:color w:val="auto"/>
          <w:sz w:val="28"/>
          <w:szCs w:val="28"/>
        </w:rPr>
        <w:t>时间范围</w:t>
      </w:r>
      <w:bookmarkEnd w:id="9"/>
    </w:p>
    <w:p w14:paraId="61AFD5DC">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本报告的时间范围为：</w:t>
      </w:r>
      <w:r>
        <w:rPr>
          <w:rFonts w:hint="eastAsia" w:ascii="Times New Roman" w:hAnsi="Times New Roman" w:eastAsia="宋体"/>
          <w:i w:val="0"/>
          <w:iCs w:val="0"/>
          <w:color w:val="auto"/>
          <w:sz w:val="24"/>
          <w:szCs w:val="24"/>
        </w:rPr>
        <w:t>20</w:t>
      </w:r>
      <w:r>
        <w:rPr>
          <w:rFonts w:hint="eastAsia" w:ascii="Times New Roman" w:hAnsi="Times New Roman" w:eastAsia="宋体"/>
          <w:i w:val="0"/>
          <w:iCs w:val="0"/>
          <w:color w:val="auto"/>
          <w:sz w:val="24"/>
          <w:szCs w:val="24"/>
          <w:lang w:val="en-US" w:eastAsia="zh-CN"/>
        </w:rPr>
        <w:t>24</w:t>
      </w:r>
      <w:r>
        <w:rPr>
          <w:rFonts w:hint="eastAsia" w:ascii="Times New Roman" w:hAnsi="Times New Roman" w:eastAsia="宋体"/>
          <w:i w:val="0"/>
          <w:iCs w:val="0"/>
          <w:color w:val="auto"/>
          <w:sz w:val="24"/>
          <w:szCs w:val="24"/>
        </w:rPr>
        <w:t>年</w:t>
      </w:r>
      <w:r>
        <w:rPr>
          <w:rFonts w:hint="eastAsia" w:ascii="Times New Roman" w:hAnsi="Times New Roman" w:eastAsia="宋体"/>
          <w:i w:val="0"/>
          <w:iCs w:val="0"/>
          <w:color w:val="auto"/>
          <w:sz w:val="24"/>
          <w:szCs w:val="24"/>
          <w:lang w:val="en-US" w:eastAsia="zh-CN"/>
        </w:rPr>
        <w:t>1</w:t>
      </w:r>
      <w:r>
        <w:rPr>
          <w:rFonts w:hint="eastAsia" w:ascii="Times New Roman" w:hAnsi="Times New Roman" w:eastAsia="宋体"/>
          <w:i w:val="0"/>
          <w:iCs w:val="0"/>
          <w:color w:val="auto"/>
          <w:sz w:val="24"/>
          <w:szCs w:val="24"/>
        </w:rPr>
        <w:t>月</w:t>
      </w:r>
      <w:r>
        <w:rPr>
          <w:rFonts w:hint="eastAsia" w:ascii="Times New Roman" w:hAnsi="Times New Roman" w:eastAsia="宋体"/>
          <w:i w:val="0"/>
          <w:iCs w:val="0"/>
          <w:color w:val="auto"/>
          <w:sz w:val="24"/>
          <w:szCs w:val="24"/>
          <w:lang w:val="en-US" w:eastAsia="zh-CN"/>
        </w:rPr>
        <w:t>1</w:t>
      </w:r>
      <w:r>
        <w:rPr>
          <w:rFonts w:hint="eastAsia" w:ascii="Times New Roman" w:hAnsi="Times New Roman" w:eastAsia="宋体"/>
          <w:i w:val="0"/>
          <w:iCs w:val="0"/>
          <w:color w:val="auto"/>
          <w:sz w:val="24"/>
          <w:szCs w:val="24"/>
        </w:rPr>
        <w:t>日至20</w:t>
      </w:r>
      <w:r>
        <w:rPr>
          <w:rFonts w:hint="eastAsia" w:ascii="Times New Roman" w:hAnsi="Times New Roman" w:eastAsia="宋体"/>
          <w:i w:val="0"/>
          <w:iCs w:val="0"/>
          <w:color w:val="auto"/>
          <w:sz w:val="24"/>
          <w:szCs w:val="24"/>
          <w:lang w:val="en-US" w:eastAsia="zh-CN"/>
        </w:rPr>
        <w:t>24</w:t>
      </w:r>
      <w:r>
        <w:rPr>
          <w:rFonts w:hint="eastAsia" w:ascii="Times New Roman" w:hAnsi="Times New Roman" w:eastAsia="宋体"/>
          <w:i w:val="0"/>
          <w:iCs w:val="0"/>
          <w:color w:val="auto"/>
          <w:sz w:val="24"/>
          <w:szCs w:val="24"/>
        </w:rPr>
        <w:t>年</w:t>
      </w:r>
      <w:r>
        <w:rPr>
          <w:rFonts w:hint="eastAsia" w:ascii="Times New Roman" w:hAnsi="Times New Roman" w:eastAsia="宋体"/>
          <w:i w:val="0"/>
          <w:iCs w:val="0"/>
          <w:color w:val="auto"/>
          <w:sz w:val="24"/>
          <w:szCs w:val="24"/>
          <w:lang w:val="en-US" w:eastAsia="zh-CN"/>
        </w:rPr>
        <w:t>12</w:t>
      </w:r>
      <w:r>
        <w:rPr>
          <w:rFonts w:hint="eastAsia" w:ascii="Times New Roman" w:hAnsi="Times New Roman" w:eastAsia="宋体"/>
          <w:i w:val="0"/>
          <w:iCs w:val="0"/>
          <w:color w:val="auto"/>
          <w:sz w:val="24"/>
          <w:szCs w:val="24"/>
        </w:rPr>
        <w:t>月</w:t>
      </w:r>
      <w:r>
        <w:rPr>
          <w:rFonts w:hint="eastAsia" w:ascii="Times New Roman" w:hAnsi="Times New Roman" w:eastAsia="宋体"/>
          <w:i w:val="0"/>
          <w:iCs w:val="0"/>
          <w:color w:val="auto"/>
          <w:sz w:val="24"/>
          <w:szCs w:val="24"/>
          <w:lang w:val="en-US" w:eastAsia="zh-CN"/>
        </w:rPr>
        <w:t>31</w:t>
      </w:r>
      <w:r>
        <w:rPr>
          <w:rFonts w:hint="eastAsia" w:ascii="Times New Roman" w:hAnsi="Times New Roman" w:eastAsia="宋体"/>
          <w:i w:val="0"/>
          <w:iCs w:val="0"/>
          <w:color w:val="auto"/>
          <w:sz w:val="24"/>
          <w:szCs w:val="24"/>
        </w:rPr>
        <w:t>日</w:t>
      </w:r>
      <w:r>
        <w:rPr>
          <w:rFonts w:hint="eastAsia" w:ascii="Times New Roman" w:hAnsi="Times New Roman" w:eastAsia="宋体"/>
          <w:sz w:val="24"/>
          <w:szCs w:val="24"/>
        </w:rPr>
        <w:t>。</w:t>
      </w:r>
    </w:p>
    <w:p w14:paraId="68F60F83">
      <w:pPr>
        <w:pStyle w:val="3"/>
        <w:keepNext w:val="0"/>
        <w:keepLines w:val="0"/>
        <w:numPr>
          <w:ilvl w:val="0"/>
          <w:numId w:val="4"/>
        </w:numPr>
        <w:spacing w:before="80" w:line="360" w:lineRule="auto"/>
        <w:rPr>
          <w:rFonts w:ascii="Times New Roman" w:hAnsi="Times New Roman" w:eastAsia="宋体"/>
          <w:b/>
          <w:bCs/>
          <w:color w:val="auto"/>
          <w:sz w:val="28"/>
          <w:szCs w:val="28"/>
        </w:rPr>
      </w:pPr>
      <w:bookmarkStart w:id="10" w:name="_Toc14220"/>
      <w:r>
        <w:rPr>
          <w:rFonts w:hint="eastAsia" w:ascii="Times New Roman" w:hAnsi="Times New Roman" w:eastAsia="宋体"/>
          <w:b/>
          <w:bCs/>
          <w:color w:val="auto"/>
          <w:sz w:val="28"/>
          <w:szCs w:val="28"/>
        </w:rPr>
        <w:t>生产地点</w:t>
      </w:r>
      <w:bookmarkEnd w:id="10"/>
    </w:p>
    <w:p w14:paraId="3AD63808">
      <w:pPr>
        <w:spacing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报告产品生产地点为：</w:t>
      </w:r>
      <w:r>
        <w:rPr>
          <w:rFonts w:hint="eastAsia" w:ascii="Times New Roman" w:hAnsi="Times New Roman" w:eastAsia="宋体"/>
          <w:i w:val="0"/>
          <w:iCs w:val="0"/>
          <w:color w:val="auto"/>
          <w:sz w:val="24"/>
          <w:szCs w:val="24"/>
          <w:lang w:val="en-US" w:eastAsia="zh-CN"/>
        </w:rPr>
        <w:t>安徽省淮南市谢家集区卧园路的</w:t>
      </w:r>
      <w:r>
        <w:rPr>
          <w:rFonts w:hint="eastAsia" w:ascii="Times New Roman" w:hAnsi="Times New Roman" w:eastAsia="宋体"/>
          <w:i w:val="0"/>
          <w:iCs w:val="0"/>
          <w:color w:val="auto"/>
          <w:sz w:val="24"/>
          <w:szCs w:val="28"/>
          <w:lang w:val="en-US" w:eastAsia="zh-CN"/>
        </w:rPr>
        <w:t>美亚高新材料股份有限公司</w:t>
      </w:r>
      <w:r>
        <w:rPr>
          <w:rFonts w:hint="eastAsia" w:ascii="Times New Roman" w:hAnsi="Times New Roman" w:eastAsia="宋体"/>
          <w:sz w:val="24"/>
          <w:szCs w:val="24"/>
        </w:rPr>
        <w:t>，如图</w:t>
      </w:r>
      <w:r>
        <w:rPr>
          <w:rFonts w:hint="eastAsia" w:ascii="Times New Roman" w:hAnsi="Times New Roman" w:eastAsia="宋体"/>
          <w:i w:val="0"/>
          <w:iCs w:val="0"/>
          <w:color w:val="auto"/>
          <w:sz w:val="24"/>
          <w:szCs w:val="24"/>
        </w:rPr>
        <w:t>3-</w:t>
      </w:r>
      <w:r>
        <w:rPr>
          <w:rFonts w:hint="eastAsia" w:ascii="Times New Roman" w:hAnsi="Times New Roman" w:eastAsia="宋体"/>
          <w:i w:val="0"/>
          <w:iCs w:val="0"/>
          <w:color w:val="auto"/>
          <w:sz w:val="24"/>
          <w:szCs w:val="24"/>
          <w:lang w:val="en-US" w:eastAsia="zh-CN"/>
        </w:rPr>
        <w:t>2</w:t>
      </w:r>
      <w:r>
        <w:rPr>
          <w:rFonts w:hint="eastAsia" w:ascii="Times New Roman" w:hAnsi="Times New Roman" w:eastAsia="宋体"/>
          <w:i w:val="0"/>
          <w:iCs w:val="0"/>
          <w:color w:val="auto"/>
          <w:sz w:val="24"/>
          <w:szCs w:val="24"/>
        </w:rPr>
        <w:t>和图3-</w:t>
      </w:r>
      <w:r>
        <w:rPr>
          <w:rFonts w:hint="eastAsia" w:ascii="Times New Roman" w:hAnsi="Times New Roman" w:eastAsia="宋体"/>
          <w:i w:val="0"/>
          <w:iCs w:val="0"/>
          <w:color w:val="auto"/>
          <w:sz w:val="24"/>
          <w:szCs w:val="24"/>
          <w:lang w:val="en-US" w:eastAsia="zh-CN"/>
        </w:rPr>
        <w:t>3</w:t>
      </w:r>
      <w:r>
        <w:rPr>
          <w:rFonts w:hint="eastAsia" w:ascii="Times New Roman" w:hAnsi="Times New Roman" w:eastAsia="宋体"/>
          <w:i w:val="0"/>
          <w:iCs w:val="0"/>
          <w:color w:val="auto"/>
          <w:sz w:val="24"/>
          <w:szCs w:val="24"/>
        </w:rPr>
        <w:t>所示</w:t>
      </w:r>
      <w:r>
        <w:rPr>
          <w:rFonts w:hint="eastAsia" w:ascii="Times New Roman" w:hAnsi="Times New Roman" w:eastAsia="宋体"/>
          <w:sz w:val="24"/>
          <w:szCs w:val="24"/>
        </w:rPr>
        <w:t>。</w:t>
      </w:r>
    </w:p>
    <w:p w14:paraId="3EBA2F7B">
      <w:pPr>
        <w:spacing w:line="360" w:lineRule="auto"/>
        <w:jc w:val="center"/>
        <w:rPr>
          <w:rFonts w:ascii="Times New Roman" w:hAnsi="Times New Roman" w:eastAsia="宋体"/>
          <w:sz w:val="24"/>
          <w:szCs w:val="24"/>
        </w:rPr>
      </w:pPr>
      <w:r>
        <w:rPr>
          <w:sz w:val="24"/>
        </w:rPr>
        <mc:AlternateContent>
          <mc:Choice Requires="wps">
            <w:drawing>
              <wp:inline distT="0" distB="0" distL="114300" distR="114300">
                <wp:extent cx="4416425" cy="2354580"/>
                <wp:effectExtent l="6350" t="6350" r="22225" b="26670"/>
                <wp:docPr id="1" name="文本框 1"/>
                <wp:cNvGraphicFramePr/>
                <a:graphic xmlns:a="http://schemas.openxmlformats.org/drawingml/2006/main">
                  <a:graphicData uri="http://schemas.microsoft.com/office/word/2010/wordprocessingShape">
                    <wps:wsp>
                      <wps:cNvSpPr txBox="1"/>
                      <wps:spPr>
                        <a:xfrm>
                          <a:off x="2861310" y="3890010"/>
                          <a:ext cx="4416425" cy="23545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EE24C3">
                            <w:pPr>
                              <w:rPr>
                                <w:rFonts w:hint="default"/>
                                <w:lang w:val="en-US" w:eastAsia="zh-CN"/>
                              </w:rPr>
                            </w:pPr>
                            <w:r>
                              <w:rPr>
                                <w:rFonts w:hint="default"/>
                                <w:lang w:val="en-US" w:eastAsia="zh-CN"/>
                              </w:rPr>
                              <w:drawing>
                                <wp:inline distT="0" distB="0" distL="114300" distR="114300">
                                  <wp:extent cx="4211955" cy="2144395"/>
                                  <wp:effectExtent l="0" t="0" r="0" b="0"/>
                                  <wp:docPr id="13" name="图片 13" descr="63e452f9-1c48-4087-a7ad-eceb1919b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3e452f9-1c48-4087-a7ad-eceb1919ba74"/>
                                          <pic:cNvPicPr>
                                            <a:picLocks noChangeAspect="1"/>
                                          </pic:cNvPicPr>
                                        </pic:nvPicPr>
                                        <pic:blipFill>
                                          <a:blip r:embed="rId12"/>
                                          <a:srcRect t="15805" b="10311"/>
                                          <a:stretch>
                                            <a:fillRect/>
                                          </a:stretch>
                                        </pic:blipFill>
                                        <pic:spPr>
                                          <a:xfrm>
                                            <a:off x="0" y="0"/>
                                            <a:ext cx="4211955" cy="2144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85.4pt;width:347.75pt;" fillcolor="#FFFFFF [3201]" filled="t" stroked="t" coordsize="21600,21600" o:gfxdata="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2mMydQAAAAFAQAADwAAAAAAAAABACAAAAAiAAAAZHJzL2Rvd25yZXYueG1sUEsBAhQAFAAA&#10;AAgAh07iQFeTeoZlAgAAxAQAAA4AAAAAAAAAAQAgAAAAIwEAAGRycy9lMm9Eb2MueG1sUEsFBgAA&#10;AAAGAAYAWQEAAPoFAAAAAA==&#10;">
                <v:fill on="t" focussize="0,0"/>
                <v:stroke weight="0.5pt" color="#000000 [3204]" joinstyle="round"/>
                <v:imagedata o:title=""/>
                <o:lock v:ext="edit" aspectratio="f"/>
                <v:textbox>
                  <w:txbxContent>
                    <w:p w14:paraId="0FEE24C3">
                      <w:pPr>
                        <w:rPr>
                          <w:rFonts w:hint="default"/>
                          <w:lang w:val="en-US" w:eastAsia="zh-CN"/>
                        </w:rPr>
                      </w:pPr>
                      <w:r>
                        <w:rPr>
                          <w:rFonts w:hint="default"/>
                          <w:lang w:val="en-US" w:eastAsia="zh-CN"/>
                        </w:rPr>
                        <w:drawing>
                          <wp:inline distT="0" distB="0" distL="114300" distR="114300">
                            <wp:extent cx="4211955" cy="2144395"/>
                            <wp:effectExtent l="0" t="0" r="0" b="0"/>
                            <wp:docPr id="13" name="图片 13" descr="63e452f9-1c48-4087-a7ad-eceb1919b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3e452f9-1c48-4087-a7ad-eceb1919ba74"/>
                                    <pic:cNvPicPr>
                                      <a:picLocks noChangeAspect="1"/>
                                    </pic:cNvPicPr>
                                  </pic:nvPicPr>
                                  <pic:blipFill>
                                    <a:blip r:embed="rId12"/>
                                    <a:srcRect t="15805" b="10311"/>
                                    <a:stretch>
                                      <a:fillRect/>
                                    </a:stretch>
                                  </pic:blipFill>
                                  <pic:spPr>
                                    <a:xfrm>
                                      <a:off x="0" y="0"/>
                                      <a:ext cx="4211955" cy="2144395"/>
                                    </a:xfrm>
                                    <a:prstGeom prst="rect">
                                      <a:avLst/>
                                    </a:prstGeom>
                                  </pic:spPr>
                                </pic:pic>
                              </a:graphicData>
                            </a:graphic>
                          </wp:inline>
                        </w:drawing>
                      </w:r>
                    </w:p>
                  </w:txbxContent>
                </v:textbox>
                <w10:wrap type="none"/>
                <w10:anchorlock/>
              </v:shape>
            </w:pict>
          </mc:Fallback>
        </mc:AlternateContent>
      </w:r>
    </w:p>
    <w:p w14:paraId="5160E08B">
      <w:pPr>
        <w:spacing w:line="360" w:lineRule="auto"/>
        <w:jc w:val="center"/>
        <w:rPr>
          <w:rFonts w:ascii="Times New Roman" w:hAnsi="Times New Roman" w:eastAsia="宋体"/>
          <w:szCs w:val="21"/>
        </w:rPr>
      </w:pPr>
      <w:r>
        <w:rPr>
          <w:rFonts w:hint="eastAsia" w:ascii="Times New Roman" w:hAnsi="Times New Roman" w:eastAsia="宋体"/>
          <w:szCs w:val="21"/>
        </w:rPr>
        <w:t>图3-</w:t>
      </w:r>
      <w:r>
        <w:rPr>
          <w:rFonts w:hint="eastAsia" w:ascii="Times New Roman" w:hAnsi="Times New Roman" w:eastAsia="宋体"/>
          <w:szCs w:val="21"/>
          <w:lang w:val="en-US" w:eastAsia="zh-CN"/>
        </w:rPr>
        <w:t>2</w:t>
      </w:r>
      <w:r>
        <w:rPr>
          <w:rFonts w:hint="eastAsia" w:ascii="Times New Roman" w:hAnsi="Times New Roman" w:eastAsia="宋体"/>
          <w:szCs w:val="21"/>
        </w:rPr>
        <w:t xml:space="preserve"> 报告产品生产地点</w:t>
      </w:r>
    </w:p>
    <w:p w14:paraId="78DA2EB8">
      <w:pPr>
        <w:spacing w:line="360" w:lineRule="auto"/>
        <w:jc w:val="center"/>
        <w:rPr>
          <w:rFonts w:ascii="Times New Roman" w:hAnsi="Times New Roman" w:eastAsia="宋体"/>
          <w:szCs w:val="21"/>
        </w:rPr>
      </w:pPr>
      <w:r>
        <w:rPr>
          <w:sz w:val="24"/>
        </w:rPr>
        <mc:AlternateContent>
          <mc:Choice Requires="wps">
            <w:drawing>
              <wp:inline distT="0" distB="0" distL="114300" distR="114300">
                <wp:extent cx="4416425" cy="2354580"/>
                <wp:effectExtent l="6350" t="6350" r="22225" b="26670"/>
                <wp:docPr id="2" name="文本框 2"/>
                <wp:cNvGraphicFramePr/>
                <a:graphic xmlns:a="http://schemas.openxmlformats.org/drawingml/2006/main">
                  <a:graphicData uri="http://schemas.microsoft.com/office/word/2010/wordprocessingShape">
                    <wps:wsp>
                      <wps:cNvSpPr txBox="1"/>
                      <wps:spPr>
                        <a:xfrm>
                          <a:off x="0" y="0"/>
                          <a:ext cx="4416425" cy="23545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F49D5F">
                            <w:pPr>
                              <w:rPr>
                                <w:rFonts w:hint="default" w:eastAsiaTheme="minorEastAsia"/>
                                <w:i/>
                                <w:iCs/>
                                <w:color w:val="0000FF"/>
                                <w:lang w:val="en-US" w:eastAsia="zh-CN"/>
                              </w:rPr>
                            </w:pPr>
                            <w:r>
                              <w:rPr>
                                <w:rFonts w:hint="default" w:eastAsiaTheme="minorEastAsia"/>
                                <w:i/>
                                <w:iCs/>
                                <w:color w:val="0000FF"/>
                                <w:lang w:val="en-US" w:eastAsia="zh-CN"/>
                              </w:rPr>
                              <w:drawing>
                                <wp:inline distT="0" distB="0" distL="114300" distR="114300">
                                  <wp:extent cx="4224655" cy="2147570"/>
                                  <wp:effectExtent l="0" t="0" r="17145" b="11430"/>
                                  <wp:docPr id="14" name="图片 14" descr="470291de-9a3b-45c4-985c-ae3296d4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70291de-9a3b-45c4-985c-ae3296d44152"/>
                                          <pic:cNvPicPr>
                                            <a:picLocks noChangeAspect="1"/>
                                          </pic:cNvPicPr>
                                        </pic:nvPicPr>
                                        <pic:blipFill>
                                          <a:blip r:embed="rId13"/>
                                          <a:stretch>
                                            <a:fillRect/>
                                          </a:stretch>
                                        </pic:blipFill>
                                        <pic:spPr>
                                          <a:xfrm>
                                            <a:off x="0" y="0"/>
                                            <a:ext cx="4224655" cy="214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85.4pt;width:347.75pt;" fillcolor="#FFFFFF [3201]" filled="t" stroked="t" coordsize="21600,21600" o:gfxdata="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2mMydQA&#10;AAAFAQAADwAAAAAAAAABACAAAAAiAAAAZHJzL2Rvd25yZXYueG1sUEsBAhQAFAAAAAgAh07iQEN3&#10;svRcAgAAuAQAAA4AAAAAAAAAAQAgAAAAIwEAAGRycy9lMm9Eb2MueG1sUEsFBgAAAAAGAAYAWQEA&#10;APEFAAAAAA==&#10;">
                <v:fill on="t" focussize="0,0"/>
                <v:stroke weight="0.5pt" color="#000000 [3204]" joinstyle="round"/>
                <v:imagedata o:title=""/>
                <o:lock v:ext="edit" aspectratio="f"/>
                <v:textbox>
                  <w:txbxContent>
                    <w:p w14:paraId="4AF49D5F">
                      <w:pPr>
                        <w:rPr>
                          <w:rFonts w:hint="default" w:eastAsiaTheme="minorEastAsia"/>
                          <w:i/>
                          <w:iCs/>
                          <w:color w:val="0000FF"/>
                          <w:lang w:val="en-US" w:eastAsia="zh-CN"/>
                        </w:rPr>
                      </w:pPr>
                      <w:r>
                        <w:rPr>
                          <w:rFonts w:hint="default" w:eastAsiaTheme="minorEastAsia"/>
                          <w:i/>
                          <w:iCs/>
                          <w:color w:val="0000FF"/>
                          <w:lang w:val="en-US" w:eastAsia="zh-CN"/>
                        </w:rPr>
                        <w:drawing>
                          <wp:inline distT="0" distB="0" distL="114300" distR="114300">
                            <wp:extent cx="4224655" cy="2147570"/>
                            <wp:effectExtent l="0" t="0" r="17145" b="11430"/>
                            <wp:docPr id="14" name="图片 14" descr="470291de-9a3b-45c4-985c-ae3296d4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70291de-9a3b-45c4-985c-ae3296d44152"/>
                                    <pic:cNvPicPr>
                                      <a:picLocks noChangeAspect="1"/>
                                    </pic:cNvPicPr>
                                  </pic:nvPicPr>
                                  <pic:blipFill>
                                    <a:blip r:embed="rId13"/>
                                    <a:stretch>
                                      <a:fillRect/>
                                    </a:stretch>
                                  </pic:blipFill>
                                  <pic:spPr>
                                    <a:xfrm>
                                      <a:off x="0" y="0"/>
                                      <a:ext cx="4224655" cy="2147570"/>
                                    </a:xfrm>
                                    <a:prstGeom prst="rect">
                                      <a:avLst/>
                                    </a:prstGeom>
                                  </pic:spPr>
                                </pic:pic>
                              </a:graphicData>
                            </a:graphic>
                          </wp:inline>
                        </w:drawing>
                      </w:r>
                    </w:p>
                  </w:txbxContent>
                </v:textbox>
                <w10:wrap type="none"/>
                <w10:anchorlock/>
              </v:shape>
            </w:pict>
          </mc:Fallback>
        </mc:AlternateContent>
      </w:r>
    </w:p>
    <w:p w14:paraId="32963D8E">
      <w:pPr>
        <w:spacing w:line="360" w:lineRule="auto"/>
        <w:jc w:val="center"/>
        <w:rPr>
          <w:rFonts w:hint="eastAsia" w:ascii="Times New Roman" w:hAnsi="Times New Roman" w:eastAsia="宋体"/>
          <w:szCs w:val="21"/>
        </w:rPr>
      </w:pPr>
      <w:r>
        <w:rPr>
          <w:rFonts w:hint="eastAsia" w:ascii="Times New Roman" w:hAnsi="Times New Roman" w:eastAsia="宋体"/>
          <w:szCs w:val="21"/>
        </w:rPr>
        <w:t>图3-3 报告产品生产厂区卫星照片</w:t>
      </w:r>
    </w:p>
    <w:p w14:paraId="45D2F70A">
      <w:pPr>
        <w:spacing w:line="360" w:lineRule="auto"/>
        <w:jc w:val="center"/>
        <w:rPr>
          <w:rFonts w:hint="eastAsia" w:ascii="Times New Roman" w:hAnsi="Times New Roman" w:eastAsia="宋体"/>
          <w:szCs w:val="21"/>
        </w:rPr>
      </w:pPr>
    </w:p>
    <w:p w14:paraId="31AC5168">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bookmarkStart w:id="11" w:name="_Toc8984"/>
      <w:r>
        <w:rPr>
          <w:rFonts w:hint="eastAsia" w:ascii="Times New Roman" w:hAnsi="Times New Roman" w:eastAsia="宋体"/>
          <w:b/>
          <w:bCs/>
          <w:color w:val="auto"/>
          <w:sz w:val="32"/>
          <w:szCs w:val="32"/>
        </w:rPr>
        <w:t>清单分析</w:t>
      </w:r>
      <w:bookmarkEnd w:id="11"/>
    </w:p>
    <w:p w14:paraId="3ABBDF9E">
      <w:pPr>
        <w:pStyle w:val="3"/>
        <w:keepNext w:val="0"/>
        <w:keepLines w:val="0"/>
        <w:numPr>
          <w:ilvl w:val="0"/>
          <w:numId w:val="6"/>
        </w:numPr>
        <w:spacing w:before="80" w:line="360" w:lineRule="auto"/>
        <w:rPr>
          <w:rFonts w:ascii="Times New Roman" w:hAnsi="Times New Roman" w:eastAsia="宋体"/>
          <w:b/>
          <w:bCs/>
          <w:color w:val="auto"/>
          <w:sz w:val="28"/>
          <w:szCs w:val="28"/>
        </w:rPr>
      </w:pPr>
      <w:bookmarkStart w:id="12" w:name="_Toc12485"/>
      <w:r>
        <w:rPr>
          <w:rFonts w:hint="eastAsia" w:ascii="Times New Roman" w:hAnsi="Times New Roman" w:eastAsia="宋体"/>
          <w:b/>
          <w:bCs/>
          <w:color w:val="auto"/>
          <w:sz w:val="28"/>
          <w:szCs w:val="28"/>
        </w:rPr>
        <w:t>数据来源说明</w:t>
      </w:r>
      <w:bookmarkEnd w:id="12"/>
    </w:p>
    <w:p w14:paraId="2D740499">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本报告碳足迹计算涉及的初级数据和次级数据如表4-1所示</w:t>
      </w:r>
      <w:bookmarkStart w:id="13" w:name="_Ref77151506"/>
      <w:r>
        <w:rPr>
          <w:rFonts w:hint="eastAsia" w:ascii="Times New Roman" w:hAnsi="Times New Roman" w:eastAsia="宋体"/>
          <w:sz w:val="24"/>
          <w:szCs w:val="24"/>
        </w:rPr>
        <w:t>.</w:t>
      </w:r>
    </w:p>
    <w:bookmarkEnd w:id="13"/>
    <w:p w14:paraId="52DF22FC">
      <w:pPr>
        <w:pStyle w:val="12"/>
        <w:spacing w:line="360" w:lineRule="auto"/>
        <w:jc w:val="center"/>
        <w:rPr>
          <w:rFonts w:ascii="Times New Roman" w:hAnsi="Times New Roman" w:eastAsia="宋体"/>
          <w:sz w:val="21"/>
        </w:rPr>
      </w:pPr>
      <w:bookmarkStart w:id="14" w:name="_Ref77151514"/>
      <w:bookmarkStart w:id="15" w:name="_Toc180053876"/>
      <w:r>
        <w:rPr>
          <w:rFonts w:ascii="Times New Roman" w:hAnsi="Times New Roman" w:eastAsia="宋体"/>
          <w:i w:val="0"/>
          <w:iCs w:val="0"/>
          <w:color w:val="auto"/>
          <w:sz w:val="21"/>
        </w:rPr>
        <w:t>表</w:t>
      </w:r>
      <w:bookmarkEnd w:id="14"/>
      <w:r>
        <w:rPr>
          <w:rFonts w:hint="eastAsia" w:ascii="Times New Roman" w:hAnsi="Times New Roman" w:eastAsia="宋体"/>
          <w:i w:val="0"/>
          <w:iCs w:val="0"/>
          <w:color w:val="auto"/>
          <w:sz w:val="21"/>
        </w:rPr>
        <w:t>4-1</w:t>
      </w:r>
      <w:r>
        <w:rPr>
          <w:rFonts w:ascii="Times New Roman" w:hAnsi="Times New Roman" w:eastAsia="宋体"/>
          <w:sz w:val="21"/>
        </w:rPr>
        <w:t xml:space="preserve"> </w:t>
      </w:r>
      <w:r>
        <w:rPr>
          <w:rFonts w:hint="eastAsia" w:ascii="Times New Roman" w:hAnsi="Times New Roman" w:eastAsia="宋体"/>
          <w:sz w:val="21"/>
        </w:rPr>
        <w:t>碳足迹评价</w:t>
      </w:r>
      <w:r>
        <w:rPr>
          <w:rFonts w:ascii="Times New Roman" w:hAnsi="Times New Roman" w:eastAsia="宋体"/>
          <w:sz w:val="21"/>
        </w:rPr>
        <w:t>鉴别及数据品质</w:t>
      </w:r>
      <w:bookmarkEnd w:id="15"/>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944"/>
        <w:gridCol w:w="969"/>
        <w:gridCol w:w="2977"/>
        <w:gridCol w:w="2087"/>
      </w:tblGrid>
      <w:tr w14:paraId="5F30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542" w:type="dxa"/>
            <w:gridSpan w:val="4"/>
            <w:vAlign w:val="center"/>
          </w:tcPr>
          <w:p w14:paraId="2E823B53">
            <w:pPr>
              <w:spacing w:line="276" w:lineRule="auto"/>
              <w:jc w:val="center"/>
              <w:rPr>
                <w:rFonts w:ascii="Times New Roman" w:hAnsi="Times New Roman" w:eastAsia="宋体"/>
                <w:b/>
                <w:szCs w:val="21"/>
              </w:rPr>
            </w:pPr>
            <w:r>
              <w:rPr>
                <w:rFonts w:hint="eastAsia" w:ascii="Times New Roman" w:hAnsi="Times New Roman" w:eastAsia="宋体"/>
                <w:b/>
                <w:szCs w:val="21"/>
              </w:rPr>
              <w:t>数据类别</w:t>
            </w:r>
          </w:p>
        </w:tc>
        <w:tc>
          <w:tcPr>
            <w:tcW w:w="2087" w:type="dxa"/>
            <w:vAlign w:val="center"/>
          </w:tcPr>
          <w:p w14:paraId="552A9F5D">
            <w:pPr>
              <w:spacing w:line="276" w:lineRule="auto"/>
              <w:jc w:val="center"/>
              <w:rPr>
                <w:rFonts w:ascii="Times New Roman" w:hAnsi="Times New Roman" w:eastAsia="宋体"/>
                <w:b/>
                <w:szCs w:val="21"/>
              </w:rPr>
            </w:pPr>
            <w:r>
              <w:rPr>
                <w:rFonts w:hint="eastAsia" w:ascii="Times New Roman" w:hAnsi="Times New Roman" w:eastAsia="宋体"/>
                <w:b/>
                <w:szCs w:val="21"/>
              </w:rPr>
              <w:t>活动数据</w:t>
            </w:r>
            <w:r>
              <w:rPr>
                <w:rFonts w:ascii="Times New Roman" w:hAnsi="Times New Roman" w:eastAsia="宋体"/>
                <w:b/>
                <w:szCs w:val="21"/>
              </w:rPr>
              <w:t>来源</w:t>
            </w:r>
          </w:p>
        </w:tc>
      </w:tr>
      <w:tr w14:paraId="1032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restart"/>
            <w:vAlign w:val="center"/>
          </w:tcPr>
          <w:p w14:paraId="59F02337">
            <w:pPr>
              <w:spacing w:line="276" w:lineRule="auto"/>
              <w:jc w:val="center"/>
              <w:rPr>
                <w:rFonts w:ascii="Times New Roman" w:hAnsi="Times New Roman" w:eastAsia="宋体"/>
                <w:szCs w:val="21"/>
                <w:highlight w:val="yellow"/>
              </w:rPr>
            </w:pPr>
            <w:r>
              <w:rPr>
                <w:rFonts w:hint="eastAsia" w:ascii="Times New Roman" w:hAnsi="Times New Roman" w:eastAsia="宋体"/>
                <w:szCs w:val="21"/>
              </w:rPr>
              <w:t>初级数据</w:t>
            </w:r>
          </w:p>
        </w:tc>
        <w:tc>
          <w:tcPr>
            <w:tcW w:w="944" w:type="dxa"/>
            <w:vMerge w:val="restart"/>
            <w:vAlign w:val="center"/>
          </w:tcPr>
          <w:p w14:paraId="6C83CFDE">
            <w:pPr>
              <w:spacing w:line="276" w:lineRule="auto"/>
              <w:jc w:val="center"/>
              <w:rPr>
                <w:rFonts w:ascii="Times New Roman" w:hAnsi="Times New Roman" w:eastAsia="宋体"/>
                <w:szCs w:val="21"/>
                <w:highlight w:val="yellow"/>
              </w:rPr>
            </w:pPr>
            <w:r>
              <w:rPr>
                <w:rFonts w:hint="eastAsia" w:ascii="Times New Roman" w:hAnsi="Times New Roman" w:eastAsia="宋体"/>
                <w:szCs w:val="21"/>
              </w:rPr>
              <w:t>特定现场</w:t>
            </w:r>
            <w:r>
              <w:rPr>
                <w:rFonts w:ascii="Times New Roman" w:hAnsi="Times New Roman" w:eastAsia="宋体"/>
                <w:szCs w:val="21"/>
              </w:rPr>
              <w:t>数据</w:t>
            </w:r>
          </w:p>
        </w:tc>
        <w:tc>
          <w:tcPr>
            <w:tcW w:w="969" w:type="dxa"/>
            <w:vMerge w:val="restart"/>
            <w:vAlign w:val="center"/>
          </w:tcPr>
          <w:p w14:paraId="17CA5E27">
            <w:pPr>
              <w:spacing w:line="276" w:lineRule="auto"/>
              <w:jc w:val="center"/>
              <w:rPr>
                <w:rFonts w:ascii="Times New Roman" w:hAnsi="Times New Roman" w:eastAsia="宋体"/>
                <w:szCs w:val="21"/>
                <w:highlight w:val="yellow"/>
              </w:rPr>
            </w:pPr>
            <w:r>
              <w:rPr>
                <w:rFonts w:hint="eastAsia" w:ascii="Times New Roman" w:hAnsi="Times New Roman" w:eastAsia="宋体"/>
                <w:szCs w:val="21"/>
              </w:rPr>
              <w:t>I</w:t>
            </w:r>
            <w:r>
              <w:rPr>
                <w:rFonts w:ascii="Times New Roman" w:hAnsi="Times New Roman" w:eastAsia="宋体"/>
                <w:szCs w:val="21"/>
              </w:rPr>
              <w:t>nputs</w:t>
            </w:r>
          </w:p>
        </w:tc>
        <w:tc>
          <w:tcPr>
            <w:tcW w:w="2977" w:type="dxa"/>
            <w:vAlign w:val="center"/>
          </w:tcPr>
          <w:p w14:paraId="498AC43A">
            <w:pPr>
              <w:keepNext w:val="0"/>
              <w:keepLines w:val="0"/>
              <w:widowControl/>
              <w:suppressLineNumbers w:val="0"/>
              <w:jc w:val="left"/>
              <w:textAlignment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树脂</w:t>
            </w:r>
          </w:p>
        </w:tc>
        <w:tc>
          <w:tcPr>
            <w:tcW w:w="2087" w:type="dxa"/>
            <w:vMerge w:val="restart"/>
            <w:vAlign w:val="center"/>
          </w:tcPr>
          <w:p w14:paraId="6B96B88A">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生产日报，产品物料清单</w:t>
            </w:r>
          </w:p>
        </w:tc>
      </w:tr>
      <w:tr w14:paraId="2F67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156E1421">
            <w:pPr>
              <w:spacing w:line="276" w:lineRule="auto"/>
              <w:jc w:val="center"/>
              <w:rPr>
                <w:rFonts w:ascii="Times New Roman" w:hAnsi="Times New Roman" w:eastAsia="宋体"/>
                <w:szCs w:val="21"/>
              </w:rPr>
            </w:pPr>
          </w:p>
        </w:tc>
        <w:tc>
          <w:tcPr>
            <w:tcW w:w="944" w:type="dxa"/>
            <w:vMerge w:val="continue"/>
            <w:vAlign w:val="center"/>
          </w:tcPr>
          <w:p w14:paraId="3B06E69E">
            <w:pPr>
              <w:spacing w:line="276" w:lineRule="auto"/>
              <w:jc w:val="center"/>
              <w:rPr>
                <w:rFonts w:ascii="Times New Roman" w:hAnsi="Times New Roman" w:eastAsia="宋体"/>
                <w:szCs w:val="21"/>
              </w:rPr>
            </w:pPr>
          </w:p>
        </w:tc>
        <w:tc>
          <w:tcPr>
            <w:tcW w:w="969" w:type="dxa"/>
            <w:vMerge w:val="continue"/>
            <w:vAlign w:val="center"/>
          </w:tcPr>
          <w:p w14:paraId="12CA10D2">
            <w:pPr>
              <w:spacing w:line="276" w:lineRule="auto"/>
              <w:jc w:val="center"/>
              <w:rPr>
                <w:rFonts w:ascii="Times New Roman" w:hAnsi="Times New Roman" w:eastAsia="宋体"/>
                <w:szCs w:val="21"/>
              </w:rPr>
            </w:pPr>
          </w:p>
        </w:tc>
        <w:tc>
          <w:tcPr>
            <w:tcW w:w="2977" w:type="dxa"/>
            <w:vAlign w:val="center"/>
          </w:tcPr>
          <w:p w14:paraId="6CF3FE76">
            <w:pPr>
              <w:keepNext w:val="0"/>
              <w:keepLines w:val="0"/>
              <w:widowControl/>
              <w:suppressLineNumbers w:val="0"/>
              <w:jc w:val="left"/>
              <w:textAlignment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石粉</w:t>
            </w:r>
          </w:p>
        </w:tc>
        <w:tc>
          <w:tcPr>
            <w:tcW w:w="2087" w:type="dxa"/>
            <w:vMerge w:val="continue"/>
            <w:vAlign w:val="center"/>
          </w:tcPr>
          <w:p w14:paraId="6775DB38">
            <w:pPr>
              <w:spacing w:line="276" w:lineRule="auto"/>
              <w:rPr>
                <w:rFonts w:ascii="Times New Roman" w:hAnsi="Times New Roman" w:eastAsia="宋体"/>
                <w:szCs w:val="21"/>
              </w:rPr>
            </w:pPr>
          </w:p>
        </w:tc>
      </w:tr>
      <w:tr w14:paraId="10FC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525C27DD">
            <w:pPr>
              <w:spacing w:line="276" w:lineRule="auto"/>
              <w:jc w:val="center"/>
              <w:rPr>
                <w:rFonts w:ascii="Times New Roman" w:hAnsi="Times New Roman" w:eastAsia="宋体"/>
                <w:szCs w:val="21"/>
              </w:rPr>
            </w:pPr>
          </w:p>
        </w:tc>
        <w:tc>
          <w:tcPr>
            <w:tcW w:w="944" w:type="dxa"/>
            <w:vMerge w:val="continue"/>
            <w:vAlign w:val="center"/>
          </w:tcPr>
          <w:p w14:paraId="4D133BFB">
            <w:pPr>
              <w:spacing w:line="276" w:lineRule="auto"/>
              <w:jc w:val="center"/>
              <w:rPr>
                <w:rFonts w:ascii="Times New Roman" w:hAnsi="Times New Roman" w:eastAsia="宋体"/>
                <w:szCs w:val="21"/>
              </w:rPr>
            </w:pPr>
          </w:p>
        </w:tc>
        <w:tc>
          <w:tcPr>
            <w:tcW w:w="969" w:type="dxa"/>
            <w:vMerge w:val="continue"/>
            <w:vAlign w:val="center"/>
          </w:tcPr>
          <w:p w14:paraId="079BA4CE">
            <w:pPr>
              <w:spacing w:line="276" w:lineRule="auto"/>
              <w:jc w:val="center"/>
              <w:rPr>
                <w:rFonts w:ascii="Times New Roman" w:hAnsi="Times New Roman" w:eastAsia="宋体"/>
                <w:szCs w:val="21"/>
              </w:rPr>
            </w:pPr>
          </w:p>
        </w:tc>
        <w:tc>
          <w:tcPr>
            <w:tcW w:w="2977" w:type="dxa"/>
            <w:vAlign w:val="center"/>
          </w:tcPr>
          <w:p w14:paraId="52EBD560">
            <w:pPr>
              <w:keepNext w:val="0"/>
              <w:keepLines w:val="0"/>
              <w:widowControl/>
              <w:suppressLineNumbers w:val="0"/>
              <w:jc w:val="left"/>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包材</w:t>
            </w:r>
          </w:p>
        </w:tc>
        <w:tc>
          <w:tcPr>
            <w:tcW w:w="2087" w:type="dxa"/>
            <w:vMerge w:val="continue"/>
            <w:vAlign w:val="center"/>
          </w:tcPr>
          <w:p w14:paraId="00F1F2EA">
            <w:pPr>
              <w:spacing w:line="276" w:lineRule="auto"/>
              <w:rPr>
                <w:rFonts w:ascii="Times New Roman" w:hAnsi="Times New Roman" w:eastAsia="宋体"/>
                <w:szCs w:val="21"/>
              </w:rPr>
            </w:pPr>
          </w:p>
        </w:tc>
      </w:tr>
      <w:tr w14:paraId="6041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088F1FC1">
            <w:pPr>
              <w:spacing w:line="276" w:lineRule="auto"/>
              <w:jc w:val="center"/>
              <w:rPr>
                <w:rFonts w:ascii="Times New Roman" w:hAnsi="Times New Roman" w:eastAsia="宋体"/>
                <w:szCs w:val="21"/>
              </w:rPr>
            </w:pPr>
          </w:p>
        </w:tc>
        <w:tc>
          <w:tcPr>
            <w:tcW w:w="944" w:type="dxa"/>
            <w:vMerge w:val="continue"/>
            <w:vAlign w:val="center"/>
          </w:tcPr>
          <w:p w14:paraId="705CA82C">
            <w:pPr>
              <w:spacing w:line="276" w:lineRule="auto"/>
              <w:jc w:val="center"/>
              <w:rPr>
                <w:rFonts w:ascii="Times New Roman" w:hAnsi="Times New Roman" w:eastAsia="宋体"/>
                <w:szCs w:val="21"/>
              </w:rPr>
            </w:pPr>
          </w:p>
        </w:tc>
        <w:tc>
          <w:tcPr>
            <w:tcW w:w="969" w:type="dxa"/>
            <w:vMerge w:val="continue"/>
            <w:vAlign w:val="center"/>
          </w:tcPr>
          <w:p w14:paraId="0C50DEDB">
            <w:pPr>
              <w:spacing w:line="276" w:lineRule="auto"/>
              <w:jc w:val="center"/>
              <w:rPr>
                <w:rFonts w:ascii="Times New Roman" w:hAnsi="Times New Roman" w:eastAsia="宋体"/>
                <w:szCs w:val="21"/>
              </w:rPr>
            </w:pPr>
          </w:p>
        </w:tc>
        <w:tc>
          <w:tcPr>
            <w:tcW w:w="2977" w:type="dxa"/>
            <w:vAlign w:val="center"/>
          </w:tcPr>
          <w:p w14:paraId="12F2D203">
            <w:pPr>
              <w:keepNext w:val="0"/>
              <w:keepLines w:val="0"/>
              <w:widowControl/>
              <w:suppressLineNumbers w:val="0"/>
              <w:jc w:val="left"/>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包装纸箱</w:t>
            </w:r>
          </w:p>
        </w:tc>
        <w:tc>
          <w:tcPr>
            <w:tcW w:w="2087" w:type="dxa"/>
            <w:vMerge w:val="continue"/>
            <w:vAlign w:val="center"/>
          </w:tcPr>
          <w:p w14:paraId="44FBB197">
            <w:pPr>
              <w:spacing w:line="276" w:lineRule="auto"/>
              <w:rPr>
                <w:rFonts w:ascii="Times New Roman" w:hAnsi="Times New Roman" w:eastAsia="宋体"/>
                <w:szCs w:val="21"/>
              </w:rPr>
            </w:pPr>
          </w:p>
        </w:tc>
      </w:tr>
      <w:tr w14:paraId="469D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5D479200">
            <w:pPr>
              <w:spacing w:line="276" w:lineRule="auto"/>
              <w:jc w:val="center"/>
              <w:rPr>
                <w:rFonts w:ascii="Times New Roman" w:hAnsi="Times New Roman" w:eastAsia="宋体"/>
                <w:szCs w:val="21"/>
              </w:rPr>
            </w:pPr>
          </w:p>
        </w:tc>
        <w:tc>
          <w:tcPr>
            <w:tcW w:w="944" w:type="dxa"/>
            <w:vMerge w:val="continue"/>
            <w:vAlign w:val="center"/>
          </w:tcPr>
          <w:p w14:paraId="01B4D173">
            <w:pPr>
              <w:spacing w:line="276" w:lineRule="auto"/>
              <w:jc w:val="center"/>
              <w:rPr>
                <w:rFonts w:ascii="Times New Roman" w:hAnsi="Times New Roman" w:eastAsia="宋体"/>
                <w:szCs w:val="21"/>
              </w:rPr>
            </w:pPr>
          </w:p>
        </w:tc>
        <w:tc>
          <w:tcPr>
            <w:tcW w:w="969" w:type="dxa"/>
            <w:vMerge w:val="restart"/>
            <w:vAlign w:val="center"/>
          </w:tcPr>
          <w:p w14:paraId="10D3E7DF">
            <w:pPr>
              <w:spacing w:line="276" w:lineRule="auto"/>
              <w:jc w:val="center"/>
              <w:rPr>
                <w:rFonts w:ascii="Times New Roman" w:hAnsi="Times New Roman" w:eastAsia="宋体"/>
                <w:szCs w:val="21"/>
              </w:rPr>
            </w:pPr>
            <w:r>
              <w:rPr>
                <w:rFonts w:hint="eastAsia" w:ascii="Times New Roman" w:hAnsi="Times New Roman" w:eastAsia="宋体"/>
                <w:szCs w:val="21"/>
              </w:rPr>
              <w:t>O</w:t>
            </w:r>
            <w:r>
              <w:rPr>
                <w:rFonts w:ascii="Times New Roman" w:hAnsi="Times New Roman" w:eastAsia="宋体"/>
                <w:szCs w:val="21"/>
              </w:rPr>
              <w:t>utputs</w:t>
            </w:r>
          </w:p>
        </w:tc>
        <w:tc>
          <w:tcPr>
            <w:tcW w:w="2977" w:type="dxa"/>
            <w:vAlign w:val="center"/>
          </w:tcPr>
          <w:p w14:paraId="2C73073E">
            <w:pPr>
              <w:spacing w:line="276" w:lineRule="auto"/>
              <w:rPr>
                <w:rFonts w:ascii="Times New Roman" w:hAnsi="Times New Roman" w:eastAsia="宋体"/>
                <w:szCs w:val="21"/>
              </w:rPr>
            </w:pPr>
            <w:r>
              <w:rPr>
                <w:rFonts w:hint="eastAsia" w:ascii="Times New Roman" w:hAnsi="Times New Roman" w:eastAsia="宋体"/>
                <w:szCs w:val="21"/>
              </w:rPr>
              <w:t>产品产量</w:t>
            </w:r>
          </w:p>
        </w:tc>
        <w:tc>
          <w:tcPr>
            <w:tcW w:w="2087" w:type="dxa"/>
            <w:vAlign w:val="center"/>
          </w:tcPr>
          <w:p w14:paraId="53E9ACF7">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产量报表</w:t>
            </w:r>
          </w:p>
        </w:tc>
      </w:tr>
      <w:tr w14:paraId="4EC2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0B7F278C">
            <w:pPr>
              <w:spacing w:line="276" w:lineRule="auto"/>
              <w:jc w:val="center"/>
              <w:rPr>
                <w:rFonts w:ascii="Times New Roman" w:hAnsi="Times New Roman" w:eastAsia="宋体"/>
                <w:szCs w:val="21"/>
              </w:rPr>
            </w:pPr>
          </w:p>
        </w:tc>
        <w:tc>
          <w:tcPr>
            <w:tcW w:w="944" w:type="dxa"/>
            <w:vMerge w:val="continue"/>
            <w:vAlign w:val="center"/>
          </w:tcPr>
          <w:p w14:paraId="270C82A5">
            <w:pPr>
              <w:spacing w:line="276" w:lineRule="auto"/>
              <w:jc w:val="center"/>
              <w:rPr>
                <w:rFonts w:ascii="Times New Roman" w:hAnsi="Times New Roman" w:eastAsia="宋体"/>
                <w:szCs w:val="21"/>
              </w:rPr>
            </w:pPr>
          </w:p>
        </w:tc>
        <w:tc>
          <w:tcPr>
            <w:tcW w:w="969" w:type="dxa"/>
            <w:vMerge w:val="continue"/>
            <w:vAlign w:val="center"/>
          </w:tcPr>
          <w:p w14:paraId="4FB1F58E">
            <w:pPr>
              <w:spacing w:line="276" w:lineRule="auto"/>
              <w:jc w:val="center"/>
              <w:rPr>
                <w:rFonts w:hint="eastAsia" w:ascii="Times New Roman" w:hAnsi="Times New Roman" w:eastAsia="宋体"/>
                <w:szCs w:val="21"/>
              </w:rPr>
            </w:pPr>
          </w:p>
        </w:tc>
        <w:tc>
          <w:tcPr>
            <w:tcW w:w="2977" w:type="dxa"/>
            <w:vAlign w:val="center"/>
          </w:tcPr>
          <w:p w14:paraId="09B9DE0D">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固废</w:t>
            </w:r>
          </w:p>
        </w:tc>
        <w:tc>
          <w:tcPr>
            <w:tcW w:w="2087" w:type="dxa"/>
            <w:vAlign w:val="center"/>
          </w:tcPr>
          <w:p w14:paraId="08870DD3">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固废出入库清单</w:t>
            </w:r>
          </w:p>
        </w:tc>
      </w:tr>
      <w:tr w14:paraId="19ED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59D27A68">
            <w:pPr>
              <w:spacing w:line="276" w:lineRule="auto"/>
              <w:jc w:val="center"/>
              <w:rPr>
                <w:rFonts w:ascii="Times New Roman" w:hAnsi="Times New Roman" w:eastAsia="宋体"/>
                <w:szCs w:val="21"/>
              </w:rPr>
            </w:pPr>
          </w:p>
        </w:tc>
        <w:tc>
          <w:tcPr>
            <w:tcW w:w="944" w:type="dxa"/>
            <w:vMerge w:val="continue"/>
            <w:vAlign w:val="center"/>
          </w:tcPr>
          <w:p w14:paraId="4C0FAA67">
            <w:pPr>
              <w:spacing w:line="276" w:lineRule="auto"/>
              <w:jc w:val="center"/>
              <w:rPr>
                <w:rFonts w:ascii="Times New Roman" w:hAnsi="Times New Roman" w:eastAsia="宋体"/>
                <w:szCs w:val="21"/>
              </w:rPr>
            </w:pPr>
          </w:p>
        </w:tc>
        <w:tc>
          <w:tcPr>
            <w:tcW w:w="969" w:type="dxa"/>
            <w:vMerge w:val="restart"/>
            <w:vAlign w:val="center"/>
          </w:tcPr>
          <w:p w14:paraId="5388BBDE">
            <w:pPr>
              <w:spacing w:line="276" w:lineRule="auto"/>
              <w:jc w:val="center"/>
              <w:rPr>
                <w:rFonts w:ascii="Times New Roman" w:hAnsi="Times New Roman" w:eastAsia="宋体"/>
                <w:szCs w:val="21"/>
              </w:rPr>
            </w:pPr>
            <w:r>
              <w:rPr>
                <w:rFonts w:hint="eastAsia" w:ascii="Times New Roman" w:hAnsi="Times New Roman" w:eastAsia="宋体"/>
                <w:szCs w:val="21"/>
              </w:rPr>
              <w:t>E</w:t>
            </w:r>
            <w:r>
              <w:rPr>
                <w:rFonts w:ascii="Times New Roman" w:hAnsi="Times New Roman" w:eastAsia="宋体"/>
                <w:szCs w:val="21"/>
              </w:rPr>
              <w:t>nergy used</w:t>
            </w:r>
          </w:p>
        </w:tc>
        <w:tc>
          <w:tcPr>
            <w:tcW w:w="2977" w:type="dxa"/>
            <w:vAlign w:val="center"/>
          </w:tcPr>
          <w:p w14:paraId="601BC7C3">
            <w:pPr>
              <w:spacing w:line="276" w:lineRule="auto"/>
              <w:rPr>
                <w:rFonts w:hint="eastAsia" w:ascii="Times New Roman" w:hAnsi="Times New Roman" w:eastAsia="宋体"/>
                <w:szCs w:val="21"/>
                <w:lang w:val="en-US" w:eastAsia="zh-CN"/>
              </w:rPr>
            </w:pPr>
            <w:r>
              <w:rPr>
                <w:rFonts w:hint="eastAsia" w:ascii="Times New Roman" w:hAnsi="Times New Roman" w:eastAsia="宋体"/>
                <w:szCs w:val="21"/>
              </w:rPr>
              <w:t>外购电</w:t>
            </w:r>
          </w:p>
        </w:tc>
        <w:tc>
          <w:tcPr>
            <w:tcW w:w="2087" w:type="dxa"/>
            <w:vAlign w:val="center"/>
          </w:tcPr>
          <w:p w14:paraId="21BEBC5F">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电力发票和账单</w:t>
            </w:r>
          </w:p>
        </w:tc>
      </w:tr>
      <w:tr w14:paraId="71861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52" w:type="dxa"/>
            <w:vMerge w:val="continue"/>
            <w:vAlign w:val="center"/>
          </w:tcPr>
          <w:p w14:paraId="115055C7">
            <w:pPr>
              <w:spacing w:line="276" w:lineRule="auto"/>
              <w:jc w:val="center"/>
              <w:rPr>
                <w:rFonts w:ascii="Times New Roman" w:hAnsi="Times New Roman" w:eastAsia="宋体"/>
                <w:szCs w:val="21"/>
              </w:rPr>
            </w:pPr>
          </w:p>
        </w:tc>
        <w:tc>
          <w:tcPr>
            <w:tcW w:w="944" w:type="dxa"/>
            <w:vMerge w:val="continue"/>
            <w:vAlign w:val="center"/>
          </w:tcPr>
          <w:p w14:paraId="44E7F002">
            <w:pPr>
              <w:spacing w:line="276" w:lineRule="auto"/>
              <w:jc w:val="center"/>
              <w:rPr>
                <w:rFonts w:ascii="Times New Roman" w:hAnsi="Times New Roman" w:eastAsia="宋体"/>
                <w:szCs w:val="21"/>
              </w:rPr>
            </w:pPr>
          </w:p>
        </w:tc>
        <w:tc>
          <w:tcPr>
            <w:tcW w:w="969" w:type="dxa"/>
            <w:vMerge w:val="continue"/>
            <w:vAlign w:val="center"/>
          </w:tcPr>
          <w:p w14:paraId="10EF5D3D">
            <w:pPr>
              <w:spacing w:line="276" w:lineRule="auto"/>
              <w:jc w:val="center"/>
              <w:rPr>
                <w:rFonts w:ascii="Times New Roman" w:hAnsi="Times New Roman" w:eastAsia="宋体"/>
                <w:szCs w:val="21"/>
              </w:rPr>
            </w:pPr>
          </w:p>
        </w:tc>
        <w:tc>
          <w:tcPr>
            <w:tcW w:w="2977" w:type="dxa"/>
            <w:vAlign w:val="center"/>
          </w:tcPr>
          <w:p w14:paraId="49D89ED6">
            <w:pPr>
              <w:spacing w:line="276" w:lineRule="auto"/>
              <w:rPr>
                <w:rFonts w:hint="eastAsia" w:ascii="Times New Roman" w:hAnsi="Times New Roman" w:eastAsia="宋体"/>
                <w:szCs w:val="21"/>
                <w:lang w:val="en-US" w:eastAsia="zh-CN"/>
              </w:rPr>
            </w:pPr>
            <w:r>
              <w:rPr>
                <w:rFonts w:hint="eastAsia" w:ascii="Times New Roman" w:hAnsi="Times New Roman" w:eastAsia="宋体"/>
                <w:szCs w:val="21"/>
                <w:lang w:val="en-US" w:eastAsia="zh-CN"/>
              </w:rPr>
              <w:t>天然气</w:t>
            </w:r>
          </w:p>
        </w:tc>
        <w:tc>
          <w:tcPr>
            <w:tcW w:w="2087" w:type="dxa"/>
            <w:vAlign w:val="center"/>
          </w:tcPr>
          <w:p w14:paraId="165261FE">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燃气发票和账单</w:t>
            </w:r>
          </w:p>
        </w:tc>
      </w:tr>
      <w:tr w14:paraId="6C32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2" w:type="dxa"/>
            <w:vMerge w:val="restart"/>
            <w:tcBorders>
              <w:bottom w:val="single" w:color="auto" w:sz="4" w:space="0"/>
            </w:tcBorders>
            <w:vAlign w:val="center"/>
          </w:tcPr>
          <w:p w14:paraId="1F4E6BD6">
            <w:pPr>
              <w:spacing w:line="276" w:lineRule="auto"/>
              <w:ind w:left="113" w:right="113"/>
              <w:jc w:val="center"/>
              <w:rPr>
                <w:rFonts w:ascii="Times New Roman" w:hAnsi="Times New Roman" w:eastAsia="宋体"/>
                <w:szCs w:val="21"/>
              </w:rPr>
            </w:pPr>
            <w:r>
              <w:rPr>
                <w:rFonts w:hint="eastAsia" w:ascii="Times New Roman" w:hAnsi="Times New Roman" w:eastAsia="宋体"/>
                <w:szCs w:val="21"/>
              </w:rPr>
              <w:t>次级数据</w:t>
            </w:r>
          </w:p>
        </w:tc>
        <w:tc>
          <w:tcPr>
            <w:tcW w:w="1913" w:type="dxa"/>
            <w:gridSpan w:val="2"/>
            <w:vMerge w:val="restart"/>
            <w:vAlign w:val="center"/>
          </w:tcPr>
          <w:p w14:paraId="1E8BADBC">
            <w:pPr>
              <w:spacing w:line="276" w:lineRule="auto"/>
              <w:jc w:val="center"/>
              <w:rPr>
                <w:rFonts w:ascii="Times New Roman" w:hAnsi="Times New Roman" w:eastAsia="宋体"/>
                <w:szCs w:val="21"/>
              </w:rPr>
            </w:pPr>
            <w:r>
              <w:rPr>
                <w:rFonts w:hint="eastAsia" w:ascii="Times New Roman" w:hAnsi="Times New Roman" w:eastAsia="宋体"/>
                <w:szCs w:val="21"/>
              </w:rPr>
              <w:t>LCA因子</w:t>
            </w:r>
          </w:p>
        </w:tc>
        <w:tc>
          <w:tcPr>
            <w:tcW w:w="2977" w:type="dxa"/>
            <w:tcBorders>
              <w:bottom w:val="single" w:color="auto" w:sz="4" w:space="0"/>
            </w:tcBorders>
            <w:vAlign w:val="center"/>
          </w:tcPr>
          <w:p w14:paraId="6F94D997">
            <w:pPr>
              <w:keepNext w:val="0"/>
              <w:keepLines w:val="0"/>
              <w:widowControl/>
              <w:suppressLineNumbers w:val="0"/>
              <w:jc w:val="left"/>
              <w:textAlignment w:val="center"/>
              <w:rPr>
                <w:rFonts w:hint="default" w:ascii="Times New Roman" w:hAnsi="Times New Roman" w:eastAsia="宋体"/>
                <w:szCs w:val="21"/>
                <w:highlight w:val="yellow"/>
                <w:lang w:val="en-US"/>
              </w:rPr>
            </w:pPr>
            <w:r>
              <w:rPr>
                <w:rFonts w:hint="eastAsia" w:ascii="Times New Roman" w:hAnsi="Times New Roman" w:eastAsia="宋体"/>
                <w:szCs w:val="21"/>
                <w:lang w:val="en-US" w:eastAsia="zh-CN"/>
              </w:rPr>
              <w:t>树脂</w:t>
            </w:r>
            <w:r>
              <w:rPr>
                <w:rFonts w:hint="eastAsia" w:ascii="宋体" w:hAnsi="宋体" w:eastAsia="宋体" w:cs="宋体"/>
                <w:i w:val="0"/>
                <w:iCs w:val="0"/>
                <w:color w:val="000000"/>
                <w:kern w:val="0"/>
                <w:sz w:val="22"/>
                <w:szCs w:val="22"/>
                <w:u w:val="none"/>
                <w:lang w:val="en-US" w:eastAsia="zh-CN" w:bidi="ar"/>
              </w:rPr>
              <w:t>上游排放因子</w:t>
            </w:r>
          </w:p>
        </w:tc>
        <w:tc>
          <w:tcPr>
            <w:tcW w:w="2087" w:type="dxa"/>
            <w:vMerge w:val="restart"/>
            <w:vAlign w:val="center"/>
          </w:tcPr>
          <w:p w14:paraId="2436FA72">
            <w:pPr>
              <w:spacing w:line="276" w:lineRule="auto"/>
              <w:rPr>
                <w:rFonts w:hint="default" w:ascii="Times New Roman" w:hAnsi="Times New Roman" w:eastAsia="宋体"/>
                <w:szCs w:val="21"/>
                <w:lang w:val="en-US" w:eastAsia="zh-CN"/>
              </w:rPr>
            </w:pPr>
            <w:r>
              <w:rPr>
                <w:rFonts w:hint="default" w:ascii="Times New Roman" w:hAnsi="Times New Roman" w:eastAsia="宋体"/>
                <w:szCs w:val="21"/>
                <w:lang w:val="en-US"/>
              </w:rPr>
              <w:t>E</w:t>
            </w:r>
            <w:r>
              <w:rPr>
                <w:rFonts w:hint="eastAsia" w:ascii="Times New Roman" w:hAnsi="Times New Roman" w:eastAsia="宋体"/>
                <w:szCs w:val="21"/>
                <w:lang w:val="en-US" w:eastAsia="zh-CN"/>
              </w:rPr>
              <w:t>coinvent</w:t>
            </w:r>
            <w:r>
              <w:rPr>
                <w:rFonts w:hint="default" w:ascii="Times New Roman" w:hAnsi="Times New Roman" w:eastAsia="宋体"/>
                <w:szCs w:val="21"/>
                <w:lang w:val="en-US" w:eastAsia="zh-CN"/>
              </w:rPr>
              <w:t>3.10</w:t>
            </w:r>
          </w:p>
        </w:tc>
      </w:tr>
      <w:tr w14:paraId="6E91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2" w:type="dxa"/>
            <w:vMerge w:val="continue"/>
            <w:tcBorders>
              <w:bottom w:val="single" w:color="auto" w:sz="4" w:space="0"/>
            </w:tcBorders>
            <w:vAlign w:val="center"/>
          </w:tcPr>
          <w:p w14:paraId="70A04C34">
            <w:pPr>
              <w:spacing w:line="276" w:lineRule="auto"/>
              <w:ind w:left="113" w:right="113"/>
              <w:jc w:val="center"/>
              <w:rPr>
                <w:rFonts w:ascii="Times New Roman" w:hAnsi="Times New Roman" w:eastAsia="宋体"/>
                <w:szCs w:val="21"/>
              </w:rPr>
            </w:pPr>
          </w:p>
        </w:tc>
        <w:tc>
          <w:tcPr>
            <w:tcW w:w="1913" w:type="dxa"/>
            <w:gridSpan w:val="2"/>
            <w:vMerge w:val="continue"/>
            <w:vAlign w:val="center"/>
          </w:tcPr>
          <w:p w14:paraId="509855A2">
            <w:pPr>
              <w:spacing w:line="276" w:lineRule="auto"/>
              <w:jc w:val="center"/>
              <w:rPr>
                <w:rFonts w:ascii="Times New Roman" w:hAnsi="Times New Roman" w:eastAsia="宋体"/>
                <w:szCs w:val="21"/>
              </w:rPr>
            </w:pPr>
          </w:p>
        </w:tc>
        <w:tc>
          <w:tcPr>
            <w:tcW w:w="2977" w:type="dxa"/>
            <w:tcBorders>
              <w:bottom w:val="single" w:color="auto" w:sz="4" w:space="0"/>
            </w:tcBorders>
            <w:vAlign w:val="center"/>
          </w:tcPr>
          <w:p w14:paraId="7F1A13AB">
            <w:pPr>
              <w:keepNext w:val="0"/>
              <w:keepLines w:val="0"/>
              <w:widowControl/>
              <w:suppressLineNumbers w:val="0"/>
              <w:jc w:val="left"/>
              <w:textAlignment w:val="center"/>
              <w:rPr>
                <w:rFonts w:ascii="Times New Roman" w:hAnsi="Times New Roman" w:eastAsia="宋体"/>
                <w:szCs w:val="21"/>
              </w:rPr>
            </w:pPr>
            <w:r>
              <w:rPr>
                <w:rFonts w:hint="eastAsia" w:ascii="Times New Roman" w:hAnsi="Times New Roman" w:eastAsia="宋体"/>
                <w:szCs w:val="21"/>
                <w:lang w:val="en-US" w:eastAsia="zh-CN"/>
              </w:rPr>
              <w:t>石粉</w:t>
            </w:r>
            <w:r>
              <w:rPr>
                <w:rFonts w:hint="eastAsia" w:ascii="宋体" w:hAnsi="宋体" w:eastAsia="宋体" w:cs="宋体"/>
                <w:i w:val="0"/>
                <w:iCs w:val="0"/>
                <w:color w:val="000000"/>
                <w:kern w:val="0"/>
                <w:sz w:val="22"/>
                <w:szCs w:val="22"/>
                <w:u w:val="none"/>
                <w:lang w:val="en-US" w:eastAsia="zh-CN" w:bidi="ar"/>
              </w:rPr>
              <w:t>上游排放因子</w:t>
            </w:r>
          </w:p>
        </w:tc>
        <w:tc>
          <w:tcPr>
            <w:tcW w:w="2087" w:type="dxa"/>
            <w:vMerge w:val="continue"/>
            <w:vAlign w:val="center"/>
          </w:tcPr>
          <w:p w14:paraId="267195F0">
            <w:pPr>
              <w:spacing w:line="276" w:lineRule="auto"/>
              <w:rPr>
                <w:rFonts w:ascii="Times New Roman" w:hAnsi="Times New Roman" w:eastAsia="宋体"/>
                <w:szCs w:val="21"/>
              </w:rPr>
            </w:pPr>
          </w:p>
        </w:tc>
      </w:tr>
      <w:tr w14:paraId="3CD1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2" w:type="dxa"/>
            <w:vMerge w:val="continue"/>
            <w:tcBorders>
              <w:bottom w:val="single" w:color="auto" w:sz="4" w:space="0"/>
            </w:tcBorders>
            <w:vAlign w:val="center"/>
          </w:tcPr>
          <w:p w14:paraId="48AA4E40">
            <w:pPr>
              <w:spacing w:line="276" w:lineRule="auto"/>
              <w:ind w:left="113" w:right="113"/>
              <w:jc w:val="center"/>
              <w:rPr>
                <w:rFonts w:ascii="Times New Roman" w:hAnsi="Times New Roman" w:eastAsia="宋体"/>
                <w:szCs w:val="21"/>
              </w:rPr>
            </w:pPr>
          </w:p>
        </w:tc>
        <w:tc>
          <w:tcPr>
            <w:tcW w:w="1913" w:type="dxa"/>
            <w:gridSpan w:val="2"/>
            <w:vMerge w:val="continue"/>
            <w:vAlign w:val="center"/>
          </w:tcPr>
          <w:p w14:paraId="297C24F5">
            <w:pPr>
              <w:spacing w:line="276" w:lineRule="auto"/>
              <w:jc w:val="center"/>
              <w:rPr>
                <w:rFonts w:ascii="Times New Roman" w:hAnsi="Times New Roman" w:eastAsia="宋体"/>
                <w:szCs w:val="21"/>
              </w:rPr>
            </w:pPr>
          </w:p>
        </w:tc>
        <w:tc>
          <w:tcPr>
            <w:tcW w:w="2977" w:type="dxa"/>
            <w:tcBorders>
              <w:bottom w:val="single" w:color="auto" w:sz="4" w:space="0"/>
            </w:tcBorders>
            <w:vAlign w:val="center"/>
          </w:tcPr>
          <w:p w14:paraId="2ACAC036">
            <w:pPr>
              <w:keepNext w:val="0"/>
              <w:keepLines w:val="0"/>
              <w:widowControl/>
              <w:suppressLineNumbers w:val="0"/>
              <w:jc w:val="left"/>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包材</w:t>
            </w:r>
            <w:r>
              <w:rPr>
                <w:rFonts w:hint="eastAsia" w:ascii="宋体" w:hAnsi="宋体" w:eastAsia="宋体" w:cs="宋体"/>
                <w:i w:val="0"/>
                <w:iCs w:val="0"/>
                <w:color w:val="000000"/>
                <w:kern w:val="0"/>
                <w:sz w:val="22"/>
                <w:szCs w:val="22"/>
                <w:u w:val="none"/>
                <w:lang w:val="en-US" w:eastAsia="zh-CN" w:bidi="ar"/>
              </w:rPr>
              <w:t>上游排放因子</w:t>
            </w:r>
          </w:p>
        </w:tc>
        <w:tc>
          <w:tcPr>
            <w:tcW w:w="2087" w:type="dxa"/>
            <w:vMerge w:val="continue"/>
            <w:vAlign w:val="center"/>
          </w:tcPr>
          <w:p w14:paraId="7FE3DEAD">
            <w:pPr>
              <w:spacing w:line="276" w:lineRule="auto"/>
              <w:rPr>
                <w:rFonts w:ascii="Times New Roman" w:hAnsi="Times New Roman" w:eastAsia="宋体"/>
                <w:szCs w:val="21"/>
              </w:rPr>
            </w:pPr>
          </w:p>
        </w:tc>
      </w:tr>
      <w:tr w14:paraId="7DF2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2" w:type="dxa"/>
            <w:vMerge w:val="continue"/>
            <w:tcBorders>
              <w:bottom w:val="single" w:color="auto" w:sz="4" w:space="0"/>
            </w:tcBorders>
            <w:vAlign w:val="center"/>
          </w:tcPr>
          <w:p w14:paraId="052478BA">
            <w:pPr>
              <w:spacing w:line="276" w:lineRule="auto"/>
              <w:ind w:left="113" w:right="113"/>
              <w:jc w:val="center"/>
              <w:rPr>
                <w:rFonts w:ascii="Times New Roman" w:hAnsi="Times New Roman" w:eastAsia="宋体"/>
                <w:szCs w:val="21"/>
              </w:rPr>
            </w:pPr>
          </w:p>
        </w:tc>
        <w:tc>
          <w:tcPr>
            <w:tcW w:w="1913" w:type="dxa"/>
            <w:gridSpan w:val="2"/>
            <w:vMerge w:val="continue"/>
            <w:vAlign w:val="center"/>
          </w:tcPr>
          <w:p w14:paraId="264A83DC">
            <w:pPr>
              <w:spacing w:line="276" w:lineRule="auto"/>
              <w:jc w:val="center"/>
              <w:rPr>
                <w:rFonts w:ascii="Times New Roman" w:hAnsi="Times New Roman" w:eastAsia="宋体"/>
                <w:szCs w:val="21"/>
              </w:rPr>
            </w:pPr>
          </w:p>
        </w:tc>
        <w:tc>
          <w:tcPr>
            <w:tcW w:w="2977" w:type="dxa"/>
            <w:tcBorders>
              <w:bottom w:val="single" w:color="auto" w:sz="4" w:space="0"/>
            </w:tcBorders>
            <w:vAlign w:val="center"/>
          </w:tcPr>
          <w:p w14:paraId="2B206BB9">
            <w:pPr>
              <w:keepNext w:val="0"/>
              <w:keepLines w:val="0"/>
              <w:widowControl/>
              <w:suppressLineNumbers w:val="0"/>
              <w:jc w:val="left"/>
              <w:textAlignment w:val="center"/>
              <w:rPr>
                <w:rFonts w:hint="eastAsia" w:ascii="Times New Roman" w:hAnsi="Times New Roman" w:eastAsia="宋体"/>
                <w:szCs w:val="21"/>
              </w:rPr>
            </w:pPr>
            <w:r>
              <w:rPr>
                <w:rFonts w:hint="eastAsia" w:ascii="宋体" w:hAnsi="宋体" w:eastAsia="宋体" w:cs="宋体"/>
                <w:i w:val="0"/>
                <w:iCs w:val="0"/>
                <w:color w:val="000000"/>
                <w:kern w:val="0"/>
                <w:sz w:val="22"/>
                <w:szCs w:val="22"/>
                <w:u w:val="none"/>
                <w:lang w:val="en-US" w:eastAsia="zh-CN" w:bidi="ar"/>
              </w:rPr>
              <w:t>包装纸箱上游排放因子</w:t>
            </w:r>
          </w:p>
        </w:tc>
        <w:tc>
          <w:tcPr>
            <w:tcW w:w="2087" w:type="dxa"/>
            <w:vMerge w:val="continue"/>
            <w:vAlign w:val="center"/>
          </w:tcPr>
          <w:p w14:paraId="244F7983">
            <w:pPr>
              <w:spacing w:line="276" w:lineRule="auto"/>
              <w:rPr>
                <w:rFonts w:ascii="Times New Roman" w:hAnsi="Times New Roman" w:eastAsia="宋体"/>
                <w:szCs w:val="21"/>
              </w:rPr>
            </w:pPr>
          </w:p>
        </w:tc>
      </w:tr>
      <w:tr w14:paraId="1603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14:paraId="5230EB39">
            <w:pPr>
              <w:spacing w:line="276" w:lineRule="auto"/>
              <w:jc w:val="center"/>
              <w:rPr>
                <w:rFonts w:ascii="Times New Roman" w:hAnsi="Times New Roman" w:eastAsia="宋体"/>
                <w:szCs w:val="21"/>
              </w:rPr>
            </w:pPr>
          </w:p>
        </w:tc>
        <w:tc>
          <w:tcPr>
            <w:tcW w:w="1913" w:type="dxa"/>
            <w:gridSpan w:val="2"/>
            <w:vMerge w:val="continue"/>
            <w:vAlign w:val="center"/>
          </w:tcPr>
          <w:p w14:paraId="30FB90E3">
            <w:pPr>
              <w:spacing w:line="276" w:lineRule="auto"/>
              <w:jc w:val="center"/>
              <w:rPr>
                <w:rFonts w:ascii="Times New Roman" w:hAnsi="Times New Roman" w:eastAsia="宋体"/>
                <w:szCs w:val="21"/>
              </w:rPr>
            </w:pPr>
          </w:p>
        </w:tc>
        <w:tc>
          <w:tcPr>
            <w:tcW w:w="2977" w:type="dxa"/>
            <w:vAlign w:val="center"/>
          </w:tcPr>
          <w:p w14:paraId="6A067914">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固废处理排放因子</w:t>
            </w:r>
          </w:p>
        </w:tc>
        <w:tc>
          <w:tcPr>
            <w:tcW w:w="2087" w:type="dxa"/>
            <w:vMerge w:val="continue"/>
            <w:vAlign w:val="center"/>
          </w:tcPr>
          <w:p w14:paraId="26F0B740">
            <w:pPr>
              <w:spacing w:line="276" w:lineRule="auto"/>
              <w:rPr>
                <w:rFonts w:ascii="Times New Roman" w:hAnsi="Times New Roman" w:eastAsia="宋体"/>
                <w:szCs w:val="21"/>
              </w:rPr>
            </w:pPr>
          </w:p>
        </w:tc>
      </w:tr>
      <w:tr w14:paraId="309F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14:paraId="08B4FEA1">
            <w:pPr>
              <w:spacing w:line="276" w:lineRule="auto"/>
              <w:jc w:val="center"/>
              <w:rPr>
                <w:rFonts w:ascii="Times New Roman" w:hAnsi="Times New Roman" w:eastAsia="宋体"/>
                <w:szCs w:val="21"/>
              </w:rPr>
            </w:pPr>
          </w:p>
        </w:tc>
        <w:tc>
          <w:tcPr>
            <w:tcW w:w="1913" w:type="dxa"/>
            <w:gridSpan w:val="2"/>
            <w:vMerge w:val="continue"/>
            <w:vAlign w:val="center"/>
          </w:tcPr>
          <w:p w14:paraId="02786FDF">
            <w:pPr>
              <w:spacing w:line="276" w:lineRule="auto"/>
              <w:jc w:val="center"/>
              <w:rPr>
                <w:rFonts w:ascii="Times New Roman" w:hAnsi="Times New Roman" w:eastAsia="宋体"/>
                <w:szCs w:val="21"/>
              </w:rPr>
            </w:pPr>
          </w:p>
        </w:tc>
        <w:tc>
          <w:tcPr>
            <w:tcW w:w="2977" w:type="dxa"/>
            <w:vAlign w:val="center"/>
          </w:tcPr>
          <w:p w14:paraId="2FB8ABA1">
            <w:pPr>
              <w:spacing w:line="276" w:lineRule="auto"/>
              <w:rPr>
                <w:rFonts w:hint="eastAsia" w:ascii="Times New Roman" w:hAnsi="Times New Roman" w:eastAsia="宋体"/>
                <w:szCs w:val="21"/>
                <w:lang w:val="en-US" w:eastAsia="zh-CN"/>
              </w:rPr>
            </w:pPr>
            <w:r>
              <w:rPr>
                <w:rFonts w:hint="eastAsia" w:ascii="Times New Roman" w:hAnsi="Times New Roman" w:eastAsia="宋体"/>
                <w:szCs w:val="21"/>
              </w:rPr>
              <w:t>外购电</w:t>
            </w:r>
            <w:r>
              <w:rPr>
                <w:rFonts w:hint="eastAsia" w:ascii="Times New Roman" w:hAnsi="Times New Roman" w:eastAsia="宋体"/>
                <w:szCs w:val="21"/>
                <w:lang w:val="en-US" w:eastAsia="zh-CN"/>
              </w:rPr>
              <w:t>因子</w:t>
            </w:r>
          </w:p>
        </w:tc>
        <w:tc>
          <w:tcPr>
            <w:tcW w:w="2087" w:type="dxa"/>
            <w:vMerge w:val="continue"/>
            <w:vAlign w:val="center"/>
          </w:tcPr>
          <w:p w14:paraId="2B7F9165">
            <w:pPr>
              <w:spacing w:line="276" w:lineRule="auto"/>
              <w:rPr>
                <w:rFonts w:ascii="Times New Roman" w:hAnsi="Times New Roman" w:eastAsia="宋体"/>
                <w:szCs w:val="21"/>
              </w:rPr>
            </w:pPr>
          </w:p>
        </w:tc>
      </w:tr>
      <w:tr w14:paraId="506B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14:paraId="54B8EF52">
            <w:pPr>
              <w:spacing w:line="276" w:lineRule="auto"/>
              <w:jc w:val="center"/>
              <w:rPr>
                <w:rFonts w:ascii="Times New Roman" w:hAnsi="Times New Roman" w:eastAsia="宋体"/>
                <w:szCs w:val="21"/>
              </w:rPr>
            </w:pPr>
          </w:p>
        </w:tc>
        <w:tc>
          <w:tcPr>
            <w:tcW w:w="1913" w:type="dxa"/>
            <w:gridSpan w:val="2"/>
            <w:vMerge w:val="continue"/>
            <w:vAlign w:val="center"/>
          </w:tcPr>
          <w:p w14:paraId="2E9F695D">
            <w:pPr>
              <w:spacing w:line="276" w:lineRule="auto"/>
              <w:jc w:val="center"/>
              <w:rPr>
                <w:rFonts w:ascii="Times New Roman" w:hAnsi="Times New Roman" w:eastAsia="宋体"/>
                <w:szCs w:val="21"/>
              </w:rPr>
            </w:pPr>
          </w:p>
        </w:tc>
        <w:tc>
          <w:tcPr>
            <w:tcW w:w="2977" w:type="dxa"/>
            <w:vAlign w:val="center"/>
          </w:tcPr>
          <w:p w14:paraId="3499D440">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天然气排放因子</w:t>
            </w:r>
          </w:p>
        </w:tc>
        <w:tc>
          <w:tcPr>
            <w:tcW w:w="2087" w:type="dxa"/>
            <w:vAlign w:val="center"/>
          </w:tcPr>
          <w:p w14:paraId="0C706F53">
            <w:pPr>
              <w:spacing w:line="276" w:lineRule="auto"/>
              <w:rPr>
                <w:rFonts w:hint="default" w:ascii="Times New Roman" w:hAnsi="Times New Roman" w:eastAsia="宋体"/>
                <w:szCs w:val="21"/>
                <w:lang w:val="en-US"/>
              </w:rPr>
            </w:pPr>
            <w:r>
              <w:rPr>
                <w:rFonts w:hint="default" w:ascii="Times New Roman" w:hAnsi="Times New Roman" w:eastAsia="宋体"/>
                <w:szCs w:val="21"/>
                <w:lang w:val="en-US"/>
              </w:rPr>
              <w:t>CLCD</w:t>
            </w:r>
          </w:p>
        </w:tc>
      </w:tr>
      <w:tr w14:paraId="5ABA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14:paraId="161ABF26">
            <w:pPr>
              <w:spacing w:line="276" w:lineRule="auto"/>
              <w:jc w:val="center"/>
              <w:rPr>
                <w:rFonts w:ascii="Times New Roman" w:hAnsi="Times New Roman" w:eastAsia="宋体"/>
                <w:szCs w:val="21"/>
              </w:rPr>
            </w:pPr>
          </w:p>
        </w:tc>
        <w:tc>
          <w:tcPr>
            <w:tcW w:w="1913" w:type="dxa"/>
            <w:gridSpan w:val="2"/>
            <w:vAlign w:val="center"/>
          </w:tcPr>
          <w:p w14:paraId="1B23CE94">
            <w:pPr>
              <w:spacing w:line="276" w:lineRule="auto"/>
              <w:jc w:val="center"/>
              <w:rPr>
                <w:rFonts w:ascii="Times New Roman" w:hAnsi="Times New Roman" w:eastAsia="宋体"/>
                <w:szCs w:val="21"/>
              </w:rPr>
            </w:pPr>
            <w:r>
              <w:rPr>
                <w:rFonts w:hint="eastAsia" w:ascii="Times New Roman" w:hAnsi="Times New Roman" w:eastAsia="宋体"/>
                <w:szCs w:val="21"/>
              </w:rPr>
              <w:t>T</w:t>
            </w:r>
            <w:r>
              <w:rPr>
                <w:rFonts w:ascii="Times New Roman" w:hAnsi="Times New Roman" w:eastAsia="宋体"/>
                <w:szCs w:val="21"/>
              </w:rPr>
              <w:t>ransport</w:t>
            </w:r>
          </w:p>
        </w:tc>
        <w:tc>
          <w:tcPr>
            <w:tcW w:w="2977" w:type="dxa"/>
            <w:vAlign w:val="center"/>
          </w:tcPr>
          <w:p w14:paraId="47B8B8F7">
            <w:pPr>
              <w:spacing w:line="276" w:lineRule="auto"/>
              <w:rPr>
                <w:rFonts w:ascii="Times New Roman" w:hAnsi="Times New Roman" w:eastAsia="宋体"/>
                <w:szCs w:val="21"/>
              </w:rPr>
            </w:pPr>
            <w:r>
              <w:rPr>
                <w:rFonts w:hint="eastAsia" w:ascii="Times New Roman" w:hAnsi="Times New Roman" w:eastAsia="宋体"/>
                <w:szCs w:val="21"/>
              </w:rPr>
              <w:t>各类</w:t>
            </w:r>
            <w:r>
              <w:rPr>
                <w:rFonts w:ascii="Times New Roman" w:hAnsi="Times New Roman" w:eastAsia="宋体"/>
                <w:szCs w:val="21"/>
              </w:rPr>
              <w:t>运输</w:t>
            </w:r>
            <w:r>
              <w:rPr>
                <w:rFonts w:hint="eastAsia" w:ascii="Times New Roman" w:hAnsi="Times New Roman" w:eastAsia="宋体"/>
                <w:szCs w:val="21"/>
              </w:rPr>
              <w:t>距离</w:t>
            </w:r>
          </w:p>
        </w:tc>
        <w:tc>
          <w:tcPr>
            <w:tcW w:w="2087" w:type="dxa"/>
            <w:vAlign w:val="center"/>
          </w:tcPr>
          <w:p w14:paraId="149CB439">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原辅料采购合同、导航软件查询</w:t>
            </w:r>
          </w:p>
        </w:tc>
      </w:tr>
    </w:tbl>
    <w:p w14:paraId="56586C76">
      <w:pPr>
        <w:pStyle w:val="3"/>
        <w:keepNext w:val="0"/>
        <w:keepLines w:val="0"/>
        <w:numPr>
          <w:ilvl w:val="0"/>
          <w:numId w:val="6"/>
        </w:numPr>
        <w:spacing w:before="80" w:line="360" w:lineRule="auto"/>
        <w:rPr>
          <w:rFonts w:ascii="Times New Roman" w:hAnsi="Times New Roman" w:eastAsia="宋体"/>
          <w:b/>
          <w:bCs/>
          <w:color w:val="auto"/>
          <w:sz w:val="28"/>
          <w:szCs w:val="28"/>
        </w:rPr>
      </w:pPr>
      <w:bookmarkStart w:id="16" w:name="_Toc8189"/>
      <w:r>
        <w:rPr>
          <w:rFonts w:hint="eastAsia" w:ascii="Times New Roman" w:hAnsi="Times New Roman" w:eastAsia="宋体"/>
          <w:b/>
          <w:bCs/>
          <w:color w:val="auto"/>
          <w:sz w:val="28"/>
          <w:szCs w:val="28"/>
        </w:rPr>
        <w:t>分配原则与程序</w:t>
      </w:r>
      <w:bookmarkEnd w:id="16"/>
    </w:p>
    <w:p w14:paraId="25671C1E">
      <w:pPr>
        <w:spacing w:line="360" w:lineRule="auto"/>
        <w:ind w:firstLine="480" w:firstLineChars="200"/>
        <w:rPr>
          <w:rFonts w:ascii="Times New Roman" w:hAnsi="Times New Roman" w:eastAsia="宋体"/>
          <w:i/>
          <w:iCs/>
          <w:color w:val="0000FF"/>
          <w:sz w:val="24"/>
          <w:szCs w:val="24"/>
        </w:rPr>
      </w:pPr>
      <w:r>
        <w:rPr>
          <w:rFonts w:hint="eastAsia" w:ascii="Times New Roman" w:hAnsi="Times New Roman" w:eastAsia="宋体"/>
          <w:sz w:val="24"/>
          <w:szCs w:val="24"/>
        </w:rPr>
        <w:t>分配依据：</w:t>
      </w:r>
      <w:r>
        <w:rPr>
          <w:rFonts w:hint="eastAsia" w:ascii="Times New Roman" w:hAnsi="Times New Roman" w:eastAsia="宋体"/>
          <w:sz w:val="24"/>
          <w:szCs w:val="24"/>
          <w:lang w:val="en-US" w:eastAsia="zh-CN"/>
        </w:rPr>
        <w:t>按产品产量进行物理分配。</w:t>
      </w:r>
    </w:p>
    <w:p w14:paraId="7FAE681C">
      <w:pPr>
        <w:spacing w:line="360" w:lineRule="auto"/>
        <w:ind w:firstLine="480" w:firstLineChars="200"/>
        <w:rPr>
          <w:rFonts w:ascii="Times New Roman" w:hAnsi="Times New Roman" w:eastAsia="宋体"/>
          <w:i w:val="0"/>
          <w:iCs w:val="0"/>
          <w:color w:val="auto"/>
          <w:sz w:val="24"/>
          <w:szCs w:val="24"/>
        </w:rPr>
      </w:pPr>
      <w:r>
        <w:rPr>
          <w:rFonts w:hint="eastAsia" w:ascii="Times New Roman" w:hAnsi="Times New Roman" w:eastAsia="宋体"/>
          <w:sz w:val="24"/>
          <w:szCs w:val="24"/>
        </w:rPr>
        <w:t>分配程序：</w:t>
      </w:r>
      <w:r>
        <w:rPr>
          <w:rFonts w:hint="eastAsia" w:ascii="Times New Roman" w:hAnsi="Times New Roman" w:eastAsia="宋体"/>
          <w:i w:val="0"/>
          <w:iCs w:val="0"/>
          <w:color w:val="auto"/>
          <w:sz w:val="24"/>
          <w:szCs w:val="24"/>
        </w:rPr>
        <w:t>本报告专门针对报告产品专有生产线进行活动数据的收集统计，因此无需分配。</w:t>
      </w:r>
    </w:p>
    <w:p w14:paraId="7D1A13CB">
      <w:pPr>
        <w:spacing w:line="360" w:lineRule="auto"/>
        <w:ind w:firstLine="480" w:firstLineChars="200"/>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具体分配情况如下：无。</w:t>
      </w:r>
    </w:p>
    <w:p w14:paraId="0430CDD7">
      <w:pPr>
        <w:pStyle w:val="3"/>
        <w:keepNext w:val="0"/>
        <w:keepLines w:val="0"/>
        <w:numPr>
          <w:ilvl w:val="0"/>
          <w:numId w:val="6"/>
        </w:numPr>
        <w:spacing w:before="80" w:line="360" w:lineRule="auto"/>
        <w:rPr>
          <w:rFonts w:ascii="Times New Roman" w:hAnsi="Times New Roman" w:eastAsia="宋体"/>
          <w:b/>
          <w:bCs/>
          <w:color w:val="auto"/>
          <w:sz w:val="28"/>
          <w:szCs w:val="28"/>
        </w:rPr>
      </w:pPr>
      <w:bookmarkStart w:id="17" w:name="_Toc11787"/>
      <w:r>
        <w:rPr>
          <w:rFonts w:hint="eastAsia" w:ascii="Times New Roman" w:hAnsi="Times New Roman" w:eastAsia="宋体"/>
          <w:b/>
          <w:bCs/>
          <w:color w:val="auto"/>
          <w:sz w:val="28"/>
          <w:szCs w:val="28"/>
        </w:rPr>
        <w:t>清单结果及计算</w:t>
      </w:r>
      <w:bookmarkEnd w:id="17"/>
    </w:p>
    <w:p w14:paraId="5F55590A">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每功能单位生命周期各个阶段碳排放计算说明见表4-2。</w:t>
      </w:r>
    </w:p>
    <w:p w14:paraId="05AA3DF6">
      <w:pPr>
        <w:spacing w:line="360" w:lineRule="auto"/>
        <w:jc w:val="center"/>
        <w:rPr>
          <w:rFonts w:ascii="Times New Roman" w:hAnsi="Times New Roman" w:eastAsia="宋体"/>
        </w:rPr>
        <w:sectPr>
          <w:footerReference r:id="rId5" w:type="default"/>
          <w:pgSz w:w="11906" w:h="16838"/>
          <w:pgMar w:top="1440" w:right="1800" w:bottom="1440" w:left="1800" w:header="851" w:footer="992" w:gutter="0"/>
          <w:pgNumType w:start="1"/>
          <w:cols w:space="425" w:num="1"/>
          <w:docGrid w:type="lines" w:linePitch="312" w:charSpace="0"/>
        </w:sectPr>
      </w:pPr>
    </w:p>
    <w:p w14:paraId="78F549F9">
      <w:pPr>
        <w:pStyle w:val="12"/>
        <w:spacing w:line="360" w:lineRule="auto"/>
        <w:jc w:val="center"/>
        <w:rPr>
          <w:rFonts w:ascii="Times New Roman" w:hAnsi="Times New Roman" w:eastAsia="宋体" w:cs="宋体"/>
          <w:i w:val="0"/>
          <w:iCs w:val="0"/>
          <w:color w:val="auto"/>
          <w:sz w:val="21"/>
        </w:rPr>
      </w:pPr>
      <w:r>
        <w:rPr>
          <w:rFonts w:hint="eastAsia" w:ascii="Times New Roman" w:hAnsi="Times New Roman" w:eastAsia="宋体" w:cs="宋体"/>
          <w:i w:val="0"/>
          <w:iCs w:val="0"/>
          <w:color w:val="auto"/>
          <w:sz w:val="21"/>
        </w:rPr>
        <w:t>表4-2 生命周期碳排放清单说明</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6"/>
        <w:gridCol w:w="2784"/>
        <w:gridCol w:w="2218"/>
        <w:gridCol w:w="2218"/>
        <w:gridCol w:w="2218"/>
        <w:gridCol w:w="2740"/>
      </w:tblGrid>
      <w:tr w14:paraId="1611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pct"/>
            <w:vAlign w:val="center"/>
          </w:tcPr>
          <w:p w14:paraId="17A5F9BE">
            <w:pPr>
              <w:spacing w:line="276" w:lineRule="auto"/>
              <w:jc w:val="center"/>
              <w:rPr>
                <w:rFonts w:ascii="Times New Roman" w:hAnsi="Times New Roman" w:eastAsia="宋体"/>
                <w:b/>
                <w:bCs/>
              </w:rPr>
            </w:pPr>
            <w:r>
              <w:rPr>
                <w:rFonts w:hint="eastAsia" w:ascii="Times New Roman" w:hAnsi="Times New Roman" w:eastAsia="宋体"/>
                <w:b/>
                <w:bCs/>
              </w:rPr>
              <w:t>生命周期阶段</w:t>
            </w:r>
          </w:p>
        </w:tc>
        <w:tc>
          <w:tcPr>
            <w:tcW w:w="982" w:type="pct"/>
            <w:vAlign w:val="center"/>
          </w:tcPr>
          <w:p w14:paraId="0603F43D">
            <w:pPr>
              <w:spacing w:line="276" w:lineRule="auto"/>
              <w:jc w:val="center"/>
              <w:rPr>
                <w:rFonts w:ascii="Times New Roman" w:hAnsi="Times New Roman" w:eastAsia="宋体"/>
                <w:b/>
                <w:bCs/>
              </w:rPr>
            </w:pPr>
            <w:r>
              <w:rPr>
                <w:rFonts w:hint="eastAsia" w:ascii="Times New Roman" w:hAnsi="Times New Roman" w:eastAsia="宋体"/>
                <w:b/>
                <w:bCs/>
              </w:rPr>
              <w:t>项目</w:t>
            </w:r>
          </w:p>
        </w:tc>
        <w:tc>
          <w:tcPr>
            <w:tcW w:w="782" w:type="pct"/>
            <w:vAlign w:val="center"/>
          </w:tcPr>
          <w:p w14:paraId="78CAC5C3">
            <w:pPr>
              <w:spacing w:line="276" w:lineRule="auto"/>
              <w:jc w:val="center"/>
              <w:rPr>
                <w:rFonts w:ascii="Times New Roman" w:hAnsi="Times New Roman" w:eastAsia="宋体"/>
                <w:b/>
                <w:bCs/>
              </w:rPr>
            </w:pPr>
            <w:r>
              <w:rPr>
                <w:rFonts w:hint="eastAsia" w:ascii="Times New Roman" w:hAnsi="Times New Roman" w:eastAsia="宋体"/>
                <w:b/>
                <w:bCs/>
              </w:rPr>
              <w:t>活动数据</w:t>
            </w:r>
          </w:p>
        </w:tc>
        <w:tc>
          <w:tcPr>
            <w:tcW w:w="782" w:type="pct"/>
            <w:vAlign w:val="center"/>
          </w:tcPr>
          <w:p w14:paraId="18E257C7">
            <w:pPr>
              <w:spacing w:line="276" w:lineRule="auto"/>
              <w:jc w:val="center"/>
              <w:rPr>
                <w:rFonts w:ascii="Times New Roman" w:hAnsi="Times New Roman" w:eastAsia="宋体"/>
                <w:b/>
                <w:bCs/>
              </w:rPr>
            </w:pPr>
            <w:r>
              <w:rPr>
                <w:rFonts w:hint="eastAsia" w:ascii="Times New Roman" w:hAnsi="Times New Roman" w:eastAsia="宋体"/>
                <w:b/>
                <w:bCs/>
              </w:rPr>
              <w:t>计量单位</w:t>
            </w:r>
          </w:p>
        </w:tc>
        <w:tc>
          <w:tcPr>
            <w:tcW w:w="782" w:type="pct"/>
            <w:vAlign w:val="center"/>
          </w:tcPr>
          <w:p w14:paraId="03A00FEF">
            <w:pPr>
              <w:spacing w:line="276" w:lineRule="auto"/>
              <w:jc w:val="center"/>
              <w:rPr>
                <w:rFonts w:ascii="Times New Roman" w:hAnsi="Times New Roman" w:eastAsia="宋体"/>
                <w:b/>
                <w:bCs/>
              </w:rPr>
            </w:pPr>
            <w:r>
              <w:rPr>
                <w:rFonts w:hint="eastAsia" w:ascii="Times New Roman" w:hAnsi="Times New Roman" w:eastAsia="宋体"/>
                <w:b/>
                <w:bCs/>
              </w:rPr>
              <w:t>排放因子</w:t>
            </w:r>
          </w:p>
        </w:tc>
        <w:tc>
          <w:tcPr>
            <w:tcW w:w="966" w:type="pct"/>
            <w:vAlign w:val="center"/>
          </w:tcPr>
          <w:p w14:paraId="5926AE2F">
            <w:pPr>
              <w:spacing w:line="276" w:lineRule="auto"/>
              <w:jc w:val="center"/>
              <w:rPr>
                <w:rFonts w:ascii="Times New Roman" w:hAnsi="Times New Roman" w:eastAsia="宋体"/>
                <w:b/>
                <w:bCs/>
              </w:rPr>
            </w:pPr>
            <w:r>
              <w:rPr>
                <w:rFonts w:hint="eastAsia" w:ascii="Times New Roman" w:hAnsi="Times New Roman" w:eastAsia="宋体"/>
                <w:b/>
                <w:bCs/>
              </w:rPr>
              <w:t>碳足迹</w:t>
            </w:r>
          </w:p>
          <w:p w14:paraId="12B75905">
            <w:pPr>
              <w:spacing w:line="276" w:lineRule="auto"/>
              <w:jc w:val="center"/>
              <w:rPr>
                <w:rFonts w:ascii="Times New Roman" w:hAnsi="Times New Roman" w:eastAsia="宋体"/>
                <w:b/>
                <w:bCs/>
              </w:rPr>
            </w:pPr>
            <w:r>
              <w:rPr>
                <w:rFonts w:hint="eastAsia" w:ascii="Times New Roman" w:hAnsi="Times New Roman" w:eastAsia="宋体"/>
                <w:b/>
                <w:bCs/>
              </w:rPr>
              <w:t>kgCO</w:t>
            </w:r>
            <w:r>
              <w:rPr>
                <w:rFonts w:hint="eastAsia" w:ascii="Times New Roman" w:hAnsi="Times New Roman" w:eastAsia="宋体"/>
                <w:b/>
                <w:bCs/>
                <w:vertAlign w:val="subscript"/>
              </w:rPr>
              <w:t>2</w:t>
            </w:r>
            <w:r>
              <w:rPr>
                <w:rFonts w:hint="eastAsia" w:ascii="Times New Roman" w:hAnsi="Times New Roman" w:eastAsia="宋体"/>
                <w:b/>
                <w:bCs/>
              </w:rPr>
              <w:t>e/声明单位</w:t>
            </w:r>
          </w:p>
        </w:tc>
      </w:tr>
      <w:tr w14:paraId="22DC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14:paraId="631AADBA">
            <w:pPr>
              <w:spacing w:line="276" w:lineRule="auto"/>
              <w:jc w:val="center"/>
              <w:rPr>
                <w:rFonts w:ascii="Times New Roman" w:hAnsi="Times New Roman" w:eastAsia="宋体"/>
              </w:rPr>
            </w:pPr>
            <w:r>
              <w:rPr>
                <w:rFonts w:hint="eastAsia" w:ascii="Times New Roman" w:hAnsi="Times New Roman" w:eastAsia="宋体"/>
              </w:rPr>
              <w:t>原材料获取</w:t>
            </w:r>
          </w:p>
        </w:tc>
        <w:tc>
          <w:tcPr>
            <w:tcW w:w="982" w:type="pct"/>
            <w:vAlign w:val="center"/>
          </w:tcPr>
          <w:p w14:paraId="6292D2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树脂</w:t>
            </w:r>
          </w:p>
        </w:tc>
        <w:tc>
          <w:tcPr>
            <w:tcW w:w="782" w:type="pct"/>
            <w:vAlign w:val="center"/>
          </w:tcPr>
          <w:p w14:paraId="1A394A1C">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200.2</w:t>
            </w:r>
          </w:p>
        </w:tc>
        <w:tc>
          <w:tcPr>
            <w:tcW w:w="782" w:type="pct"/>
            <w:vAlign w:val="center"/>
          </w:tcPr>
          <w:p w14:paraId="582EE183">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c>
          <w:tcPr>
            <w:tcW w:w="782" w:type="pct"/>
            <w:vAlign w:val="center"/>
          </w:tcPr>
          <w:p w14:paraId="643A34B4">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4.5111</w:t>
            </w:r>
          </w:p>
        </w:tc>
        <w:tc>
          <w:tcPr>
            <w:tcW w:w="966" w:type="pct"/>
            <w:vAlign w:val="bottom"/>
          </w:tcPr>
          <w:p w14:paraId="67BEA87D">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903.1222</w:t>
            </w:r>
          </w:p>
        </w:tc>
      </w:tr>
      <w:tr w14:paraId="2DDD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74C714C3">
            <w:pPr>
              <w:spacing w:line="276" w:lineRule="auto"/>
              <w:jc w:val="center"/>
              <w:rPr>
                <w:rFonts w:ascii="Times New Roman" w:hAnsi="Times New Roman" w:eastAsia="宋体"/>
              </w:rPr>
            </w:pPr>
          </w:p>
        </w:tc>
        <w:tc>
          <w:tcPr>
            <w:tcW w:w="982" w:type="pct"/>
            <w:vAlign w:val="center"/>
          </w:tcPr>
          <w:p w14:paraId="5238F4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石粉</w:t>
            </w:r>
          </w:p>
        </w:tc>
        <w:tc>
          <w:tcPr>
            <w:tcW w:w="782" w:type="pct"/>
            <w:vAlign w:val="center"/>
          </w:tcPr>
          <w:p w14:paraId="6E04D9FF">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800.3</w:t>
            </w:r>
          </w:p>
        </w:tc>
        <w:tc>
          <w:tcPr>
            <w:tcW w:w="782" w:type="pct"/>
            <w:vAlign w:val="center"/>
          </w:tcPr>
          <w:p w14:paraId="4B2C0FE3">
            <w:pPr>
              <w:spacing w:line="276" w:lineRule="auto"/>
              <w:jc w:val="center"/>
              <w:rPr>
                <w:rFonts w:hint="eastAsia"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c>
          <w:tcPr>
            <w:tcW w:w="782" w:type="pct"/>
            <w:vAlign w:val="center"/>
          </w:tcPr>
          <w:p w14:paraId="746A41DE">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0.0653</w:t>
            </w:r>
          </w:p>
        </w:tc>
        <w:tc>
          <w:tcPr>
            <w:tcW w:w="966" w:type="pct"/>
            <w:vAlign w:val="bottom"/>
          </w:tcPr>
          <w:p w14:paraId="2B6DC9A7">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52.2596</w:t>
            </w:r>
          </w:p>
        </w:tc>
      </w:tr>
      <w:tr w14:paraId="42DE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3BABB50B">
            <w:pPr>
              <w:spacing w:line="276" w:lineRule="auto"/>
              <w:jc w:val="center"/>
              <w:rPr>
                <w:rFonts w:ascii="Times New Roman" w:hAnsi="Times New Roman" w:eastAsia="宋体"/>
              </w:rPr>
            </w:pPr>
          </w:p>
        </w:tc>
        <w:tc>
          <w:tcPr>
            <w:tcW w:w="982" w:type="pct"/>
            <w:vAlign w:val="center"/>
          </w:tcPr>
          <w:p w14:paraId="0B0753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塑料</w:t>
            </w:r>
          </w:p>
        </w:tc>
        <w:tc>
          <w:tcPr>
            <w:tcW w:w="782" w:type="pct"/>
            <w:vAlign w:val="center"/>
          </w:tcPr>
          <w:p w14:paraId="29316849">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0.75</w:t>
            </w:r>
          </w:p>
        </w:tc>
        <w:tc>
          <w:tcPr>
            <w:tcW w:w="782" w:type="pct"/>
            <w:vAlign w:val="center"/>
          </w:tcPr>
          <w:p w14:paraId="428F021D">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c>
          <w:tcPr>
            <w:tcW w:w="782" w:type="pct"/>
            <w:vAlign w:val="center"/>
          </w:tcPr>
          <w:p w14:paraId="295A0B91">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3.9126</w:t>
            </w:r>
          </w:p>
        </w:tc>
        <w:tc>
          <w:tcPr>
            <w:tcW w:w="966" w:type="pct"/>
            <w:vAlign w:val="bottom"/>
          </w:tcPr>
          <w:p w14:paraId="0859DCD5">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2.9345</w:t>
            </w:r>
          </w:p>
        </w:tc>
      </w:tr>
      <w:tr w14:paraId="756D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4294C807">
            <w:pPr>
              <w:spacing w:line="276" w:lineRule="auto"/>
              <w:jc w:val="center"/>
              <w:rPr>
                <w:rFonts w:ascii="Times New Roman" w:hAnsi="Times New Roman" w:eastAsia="宋体"/>
              </w:rPr>
            </w:pPr>
          </w:p>
        </w:tc>
        <w:tc>
          <w:tcPr>
            <w:tcW w:w="982" w:type="pct"/>
            <w:vAlign w:val="center"/>
          </w:tcPr>
          <w:p w14:paraId="3F4E2745">
            <w:pPr>
              <w:keepNext w:val="0"/>
              <w:keepLines w:val="0"/>
              <w:widowControl/>
              <w:suppressLineNumbers w:val="0"/>
              <w:jc w:val="center"/>
              <w:textAlignment w:val="center"/>
              <w:rPr>
                <w:rFonts w:hint="eastAsia" w:ascii="Times New Roman" w:hAnsi="Times New Roman" w:eastAsia="宋体"/>
                <w:szCs w:val="21"/>
              </w:rPr>
            </w:pPr>
            <w:r>
              <w:rPr>
                <w:rFonts w:hint="eastAsia" w:ascii="宋体" w:hAnsi="宋体" w:eastAsia="宋体" w:cs="宋体"/>
                <w:i w:val="0"/>
                <w:iCs w:val="0"/>
                <w:color w:val="000000"/>
                <w:kern w:val="0"/>
                <w:sz w:val="22"/>
                <w:szCs w:val="22"/>
                <w:u w:val="none"/>
                <w:lang w:val="en-US" w:eastAsia="zh-CN" w:bidi="ar"/>
              </w:rPr>
              <w:t>纸箱</w:t>
            </w:r>
          </w:p>
        </w:tc>
        <w:tc>
          <w:tcPr>
            <w:tcW w:w="782" w:type="pct"/>
            <w:vAlign w:val="center"/>
          </w:tcPr>
          <w:p w14:paraId="6CB4C408">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w:t>
            </w:r>
          </w:p>
        </w:tc>
        <w:tc>
          <w:tcPr>
            <w:tcW w:w="782" w:type="pct"/>
            <w:vAlign w:val="center"/>
          </w:tcPr>
          <w:p w14:paraId="319C13AA">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c>
          <w:tcPr>
            <w:tcW w:w="782" w:type="pct"/>
            <w:vAlign w:val="center"/>
          </w:tcPr>
          <w:p w14:paraId="0B398560">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1.3441</w:t>
            </w:r>
          </w:p>
        </w:tc>
        <w:tc>
          <w:tcPr>
            <w:tcW w:w="966" w:type="pct"/>
            <w:vAlign w:val="bottom"/>
          </w:tcPr>
          <w:p w14:paraId="577A2BC2">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2.6882</w:t>
            </w:r>
          </w:p>
        </w:tc>
      </w:tr>
      <w:tr w14:paraId="1CD2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5DC5D141">
            <w:pPr>
              <w:spacing w:line="276" w:lineRule="auto"/>
              <w:jc w:val="center"/>
              <w:rPr>
                <w:rFonts w:ascii="Times New Roman" w:hAnsi="Times New Roman" w:eastAsia="宋体"/>
              </w:rPr>
            </w:pPr>
          </w:p>
        </w:tc>
        <w:tc>
          <w:tcPr>
            <w:tcW w:w="982" w:type="pct"/>
            <w:vAlign w:val="center"/>
          </w:tcPr>
          <w:p w14:paraId="603A52D7">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1"/>
                <w:szCs w:val="21"/>
                <w:u w:val="none"/>
                <w:lang w:val="en-US" w:eastAsia="zh-CN" w:bidi="ar"/>
              </w:rPr>
              <w:t>原材料运输</w:t>
            </w:r>
          </w:p>
        </w:tc>
        <w:tc>
          <w:tcPr>
            <w:tcW w:w="782" w:type="pct"/>
            <w:vAlign w:val="center"/>
          </w:tcPr>
          <w:p w14:paraId="3888DF2B">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6.23</w:t>
            </w:r>
          </w:p>
        </w:tc>
        <w:tc>
          <w:tcPr>
            <w:tcW w:w="782" w:type="pct"/>
            <w:vAlign w:val="center"/>
          </w:tcPr>
          <w:p w14:paraId="75E63F06">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t.km</w:t>
            </w:r>
          </w:p>
        </w:tc>
        <w:tc>
          <w:tcPr>
            <w:tcW w:w="782" w:type="pct"/>
            <w:vAlign w:val="center"/>
          </w:tcPr>
          <w:p w14:paraId="1D0CB12F">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0.1540</w:t>
            </w:r>
          </w:p>
        </w:tc>
        <w:tc>
          <w:tcPr>
            <w:tcW w:w="966" w:type="pct"/>
            <w:vAlign w:val="bottom"/>
          </w:tcPr>
          <w:p w14:paraId="0AF6100D">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0.9594</w:t>
            </w:r>
          </w:p>
        </w:tc>
      </w:tr>
      <w:tr w14:paraId="190A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restart"/>
            <w:vAlign w:val="center"/>
          </w:tcPr>
          <w:p w14:paraId="0F84D458">
            <w:pPr>
              <w:spacing w:line="276" w:lineRule="auto"/>
              <w:jc w:val="center"/>
              <w:rPr>
                <w:rFonts w:ascii="Times New Roman" w:hAnsi="Times New Roman" w:eastAsia="宋体"/>
              </w:rPr>
            </w:pPr>
            <w:r>
              <w:rPr>
                <w:rFonts w:hint="eastAsia" w:ascii="Times New Roman" w:hAnsi="Times New Roman" w:eastAsia="宋体"/>
              </w:rPr>
              <w:t>生产</w:t>
            </w:r>
          </w:p>
        </w:tc>
        <w:tc>
          <w:tcPr>
            <w:tcW w:w="982" w:type="pct"/>
            <w:vAlign w:val="center"/>
          </w:tcPr>
          <w:p w14:paraId="52737B85">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电力</w:t>
            </w:r>
          </w:p>
        </w:tc>
        <w:tc>
          <w:tcPr>
            <w:tcW w:w="782" w:type="pct"/>
            <w:vAlign w:val="center"/>
          </w:tcPr>
          <w:p w14:paraId="358A6328">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89.76</w:t>
            </w:r>
          </w:p>
        </w:tc>
        <w:tc>
          <w:tcPr>
            <w:tcW w:w="782" w:type="pct"/>
            <w:vAlign w:val="center"/>
          </w:tcPr>
          <w:p w14:paraId="39C2DFBE">
            <w:pPr>
              <w:spacing w:line="276" w:lineRule="auto"/>
              <w:jc w:val="center"/>
              <w:rPr>
                <w:rFonts w:hint="default"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kwh</w:t>
            </w:r>
          </w:p>
        </w:tc>
        <w:tc>
          <w:tcPr>
            <w:tcW w:w="782" w:type="pct"/>
            <w:vAlign w:val="center"/>
          </w:tcPr>
          <w:p w14:paraId="13945EE4">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0.8570</w:t>
            </w:r>
          </w:p>
        </w:tc>
        <w:tc>
          <w:tcPr>
            <w:tcW w:w="966" w:type="pct"/>
            <w:vAlign w:val="bottom"/>
          </w:tcPr>
          <w:p w14:paraId="421449DA">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76.9243</w:t>
            </w:r>
          </w:p>
        </w:tc>
      </w:tr>
      <w:tr w14:paraId="7179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736DA2E8">
            <w:pPr>
              <w:spacing w:line="276" w:lineRule="auto"/>
              <w:jc w:val="center"/>
              <w:rPr>
                <w:rFonts w:hint="eastAsia" w:ascii="Times New Roman" w:hAnsi="Times New Roman" w:eastAsia="宋体"/>
              </w:rPr>
            </w:pPr>
          </w:p>
        </w:tc>
        <w:tc>
          <w:tcPr>
            <w:tcW w:w="982" w:type="pct"/>
            <w:vAlign w:val="center"/>
          </w:tcPr>
          <w:p w14:paraId="261081B1">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天然气</w:t>
            </w:r>
          </w:p>
        </w:tc>
        <w:tc>
          <w:tcPr>
            <w:tcW w:w="782" w:type="pct"/>
            <w:vAlign w:val="center"/>
          </w:tcPr>
          <w:p w14:paraId="3FB8D3B9">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2.82</w:t>
            </w:r>
          </w:p>
        </w:tc>
        <w:tc>
          <w:tcPr>
            <w:tcW w:w="782" w:type="pct"/>
            <w:vAlign w:val="center"/>
          </w:tcPr>
          <w:p w14:paraId="385E4845">
            <w:pPr>
              <w:spacing w:line="276" w:lineRule="auto"/>
              <w:jc w:val="center"/>
              <w:rPr>
                <w:rFonts w:hint="eastAsia"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m</w:t>
            </w:r>
            <w:r>
              <w:rPr>
                <w:rFonts w:hint="eastAsia" w:ascii="Times New Roman" w:hAnsi="Times New Roman" w:eastAsia="宋体"/>
                <w:i w:val="0"/>
                <w:iCs w:val="0"/>
                <w:color w:val="auto"/>
                <w:vertAlign w:val="superscript"/>
                <w:lang w:val="en-US" w:eastAsia="zh-CN"/>
              </w:rPr>
              <w:t>3</w:t>
            </w:r>
          </w:p>
        </w:tc>
        <w:tc>
          <w:tcPr>
            <w:tcW w:w="782" w:type="pct"/>
            <w:vAlign w:val="center"/>
          </w:tcPr>
          <w:p w14:paraId="13C1316A">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2.8000</w:t>
            </w:r>
          </w:p>
        </w:tc>
        <w:tc>
          <w:tcPr>
            <w:tcW w:w="966" w:type="pct"/>
            <w:vAlign w:val="bottom"/>
          </w:tcPr>
          <w:p w14:paraId="0DEC3FC3">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7.8960</w:t>
            </w:r>
          </w:p>
        </w:tc>
      </w:tr>
      <w:tr w14:paraId="69BC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2D5DFF69">
            <w:pPr>
              <w:spacing w:line="276" w:lineRule="auto"/>
              <w:jc w:val="center"/>
              <w:rPr>
                <w:rFonts w:hint="eastAsia" w:ascii="Times New Roman" w:hAnsi="Times New Roman" w:eastAsia="宋体"/>
              </w:rPr>
            </w:pPr>
          </w:p>
        </w:tc>
        <w:tc>
          <w:tcPr>
            <w:tcW w:w="982" w:type="pct"/>
            <w:vAlign w:val="center"/>
          </w:tcPr>
          <w:p w14:paraId="174245FC">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固废处理</w:t>
            </w:r>
          </w:p>
        </w:tc>
        <w:tc>
          <w:tcPr>
            <w:tcW w:w="782" w:type="pct"/>
            <w:vAlign w:val="center"/>
          </w:tcPr>
          <w:p w14:paraId="39A7F96F">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0.2</w:t>
            </w:r>
          </w:p>
        </w:tc>
        <w:tc>
          <w:tcPr>
            <w:tcW w:w="782" w:type="pct"/>
            <w:vAlign w:val="center"/>
          </w:tcPr>
          <w:p w14:paraId="4428145F">
            <w:pPr>
              <w:spacing w:line="276" w:lineRule="auto"/>
              <w:jc w:val="center"/>
              <w:rPr>
                <w:rFonts w:hint="eastAsia"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c>
          <w:tcPr>
            <w:tcW w:w="782" w:type="pct"/>
            <w:vAlign w:val="center"/>
          </w:tcPr>
          <w:p w14:paraId="380416F8">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2.4572</w:t>
            </w:r>
          </w:p>
        </w:tc>
        <w:tc>
          <w:tcPr>
            <w:tcW w:w="966" w:type="pct"/>
            <w:vAlign w:val="bottom"/>
          </w:tcPr>
          <w:p w14:paraId="054A99DA">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0.4914</w:t>
            </w:r>
          </w:p>
        </w:tc>
      </w:tr>
      <w:tr w14:paraId="0AC0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2D4D15E8">
            <w:pPr>
              <w:spacing w:line="276" w:lineRule="auto"/>
              <w:jc w:val="center"/>
              <w:rPr>
                <w:rFonts w:ascii="Times New Roman" w:hAnsi="Times New Roman" w:eastAsia="宋体"/>
              </w:rPr>
            </w:pPr>
          </w:p>
        </w:tc>
        <w:tc>
          <w:tcPr>
            <w:tcW w:w="982" w:type="pct"/>
            <w:vAlign w:val="center"/>
          </w:tcPr>
          <w:p w14:paraId="253F1C0D">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固废运输</w:t>
            </w:r>
          </w:p>
        </w:tc>
        <w:tc>
          <w:tcPr>
            <w:tcW w:w="782" w:type="pct"/>
            <w:vAlign w:val="center"/>
          </w:tcPr>
          <w:p w14:paraId="0123F4AB">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0.01</w:t>
            </w:r>
          </w:p>
        </w:tc>
        <w:tc>
          <w:tcPr>
            <w:tcW w:w="782" w:type="pct"/>
            <w:vAlign w:val="center"/>
          </w:tcPr>
          <w:p w14:paraId="5B6E04B5">
            <w:pPr>
              <w:spacing w:line="276" w:lineRule="auto"/>
              <w:jc w:val="center"/>
              <w:rPr>
                <w:rFonts w:hint="default"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t.km</w:t>
            </w:r>
          </w:p>
        </w:tc>
        <w:tc>
          <w:tcPr>
            <w:tcW w:w="782" w:type="pct"/>
            <w:vAlign w:val="center"/>
          </w:tcPr>
          <w:p w14:paraId="26B783A0">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0.1540</w:t>
            </w:r>
          </w:p>
        </w:tc>
        <w:tc>
          <w:tcPr>
            <w:tcW w:w="966" w:type="pct"/>
            <w:vAlign w:val="bottom"/>
          </w:tcPr>
          <w:p w14:paraId="69415755">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0.0015</w:t>
            </w:r>
          </w:p>
        </w:tc>
      </w:tr>
    </w:tbl>
    <w:p w14:paraId="5489B092">
      <w:pPr>
        <w:spacing w:line="360" w:lineRule="auto"/>
        <w:rPr>
          <w:rFonts w:ascii="Times New Roman" w:hAnsi="Times New Roman" w:eastAsia="宋体"/>
        </w:rPr>
      </w:pPr>
    </w:p>
    <w:p w14:paraId="5A5903C0">
      <w:pPr>
        <w:pStyle w:val="3"/>
        <w:keepNext w:val="0"/>
        <w:keepLines w:val="0"/>
        <w:numPr>
          <w:ilvl w:val="0"/>
          <w:numId w:val="6"/>
        </w:numPr>
        <w:spacing w:before="80" w:line="360" w:lineRule="auto"/>
        <w:rPr>
          <w:rFonts w:ascii="Times New Roman" w:hAnsi="Times New Roman" w:eastAsia="宋体"/>
          <w:b/>
          <w:bCs/>
          <w:color w:val="auto"/>
          <w:sz w:val="28"/>
          <w:szCs w:val="28"/>
        </w:rPr>
        <w:sectPr>
          <w:pgSz w:w="16838" w:h="11906" w:orient="landscape"/>
          <w:pgMar w:top="1800" w:right="1440" w:bottom="1800" w:left="1440" w:header="851" w:footer="992" w:gutter="0"/>
          <w:cols w:space="425" w:num="1"/>
          <w:docGrid w:type="lines" w:linePitch="312" w:charSpace="0"/>
        </w:sectPr>
      </w:pPr>
    </w:p>
    <w:p w14:paraId="222F22D6">
      <w:pPr>
        <w:pStyle w:val="3"/>
        <w:keepNext w:val="0"/>
        <w:keepLines w:val="0"/>
        <w:numPr>
          <w:ilvl w:val="0"/>
          <w:numId w:val="6"/>
        </w:numPr>
        <w:spacing w:before="80" w:line="360" w:lineRule="auto"/>
        <w:rPr>
          <w:rFonts w:ascii="Times New Roman" w:hAnsi="Times New Roman" w:eastAsia="宋体"/>
          <w:b/>
          <w:bCs/>
          <w:color w:val="auto"/>
          <w:sz w:val="28"/>
          <w:szCs w:val="28"/>
        </w:rPr>
      </w:pPr>
      <w:bookmarkStart w:id="18" w:name="_Toc3192"/>
      <w:r>
        <w:rPr>
          <w:rFonts w:hint="eastAsia" w:ascii="Times New Roman" w:hAnsi="Times New Roman" w:eastAsia="宋体"/>
          <w:b/>
          <w:bCs/>
          <w:color w:val="auto"/>
          <w:sz w:val="28"/>
          <w:szCs w:val="28"/>
        </w:rPr>
        <w:t>数据质量评价</w:t>
      </w:r>
      <w:r>
        <w:rPr>
          <w:rFonts w:hint="eastAsia" w:ascii="Times New Roman" w:hAnsi="Times New Roman" w:eastAsia="宋体"/>
          <w:b/>
          <w:bCs/>
          <w:color w:val="auto"/>
          <w:sz w:val="28"/>
          <w:szCs w:val="28"/>
          <w:lang w:eastAsia="zh-CN"/>
        </w:rPr>
        <w:t>（</w:t>
      </w:r>
      <w:r>
        <w:rPr>
          <w:rFonts w:hint="eastAsia" w:ascii="Times New Roman" w:hAnsi="Times New Roman" w:eastAsia="宋体"/>
          <w:b/>
          <w:bCs/>
          <w:color w:val="auto"/>
          <w:sz w:val="28"/>
          <w:szCs w:val="28"/>
          <w:lang w:val="en-US" w:eastAsia="zh-CN"/>
        </w:rPr>
        <w:t>可选项</w:t>
      </w:r>
      <w:r>
        <w:rPr>
          <w:rFonts w:hint="eastAsia" w:ascii="Times New Roman" w:hAnsi="Times New Roman" w:eastAsia="宋体"/>
          <w:b/>
          <w:bCs/>
          <w:color w:val="auto"/>
          <w:sz w:val="28"/>
          <w:szCs w:val="28"/>
          <w:lang w:eastAsia="zh-CN"/>
        </w:rPr>
        <w:t>）</w:t>
      </w:r>
      <w:bookmarkEnd w:id="18"/>
    </w:p>
    <w:p w14:paraId="5FE86C36">
      <w:pPr>
        <w:spacing w:line="360" w:lineRule="auto"/>
        <w:ind w:firstLine="480" w:firstLineChars="200"/>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t>报告代表具体企业及产品研究，时间、地理、技术代表性如下：</w:t>
      </w:r>
    </w:p>
    <w:p w14:paraId="728C30E6">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rPr>
        <w:t>(1)时间代表性：</w:t>
      </w:r>
      <w:r>
        <w:rPr>
          <w:rFonts w:hint="default" w:ascii="Times New Roman Regular" w:hAnsi="Times New Roman Regular" w:eastAsia="宋体" w:cs="Times New Roman Regular"/>
          <w:sz w:val="24"/>
          <w:szCs w:val="24"/>
          <w:lang w:val="en-US" w:eastAsia="zh-CN"/>
        </w:rPr>
        <w:t>报告期为</w:t>
      </w:r>
      <w:r>
        <w:rPr>
          <w:rFonts w:hint="default" w:ascii="Times New Roman Regular" w:hAnsi="Times New Roman Regular" w:eastAsia="宋体" w:cs="Times New Roman Regular"/>
          <w:sz w:val="24"/>
          <w:szCs w:val="24"/>
          <w:lang w:val="en-US"/>
        </w:rPr>
        <w:t>2024</w:t>
      </w:r>
      <w:r>
        <w:rPr>
          <w:rFonts w:hint="default" w:ascii="Times New Roman Regular" w:hAnsi="Times New Roman Regular" w:eastAsia="宋体" w:cs="Times New Roman Regular"/>
          <w:sz w:val="24"/>
          <w:szCs w:val="24"/>
          <w:lang w:val="en-US" w:eastAsia="zh-CN"/>
        </w:rPr>
        <w:t>年</w:t>
      </w:r>
      <w:r>
        <w:rPr>
          <w:rFonts w:hint="eastAsia" w:ascii="Times New Roman Regular" w:hAnsi="Times New Roman Regular" w:eastAsia="宋体" w:cs="Times New Roman Regular"/>
          <w:sz w:val="24"/>
          <w:szCs w:val="24"/>
          <w:lang w:val="en-US" w:eastAsia="zh-CN"/>
        </w:rPr>
        <w:t>1</w:t>
      </w:r>
      <w:r>
        <w:rPr>
          <w:rFonts w:hint="default" w:ascii="Times New Roman Regular" w:hAnsi="Times New Roman Regular" w:eastAsia="宋体" w:cs="Times New Roman Regular"/>
          <w:sz w:val="24"/>
          <w:szCs w:val="24"/>
          <w:lang w:val="en-US" w:eastAsia="zh-CN"/>
        </w:rPr>
        <w:t>月1日～202</w:t>
      </w:r>
      <w:r>
        <w:rPr>
          <w:rFonts w:hint="eastAsia" w:ascii="Times New Roman Regular" w:hAnsi="Times New Roman Regular" w:eastAsia="宋体" w:cs="Times New Roman Regular"/>
          <w:sz w:val="24"/>
          <w:szCs w:val="24"/>
          <w:lang w:val="en-US" w:eastAsia="zh-CN"/>
        </w:rPr>
        <w:t>4</w:t>
      </w:r>
      <w:r>
        <w:rPr>
          <w:rFonts w:hint="default" w:ascii="Times New Roman Regular" w:hAnsi="Times New Roman Regular" w:eastAsia="宋体" w:cs="Times New Roman Regular"/>
          <w:sz w:val="24"/>
          <w:szCs w:val="24"/>
          <w:lang w:val="en-US" w:eastAsia="zh-CN"/>
        </w:rPr>
        <w:t>年</w:t>
      </w:r>
      <w:r>
        <w:rPr>
          <w:rFonts w:hint="eastAsia" w:ascii="Times New Roman Regular" w:hAnsi="Times New Roman Regular" w:eastAsia="宋体" w:cs="Times New Roman Regular"/>
          <w:sz w:val="24"/>
          <w:szCs w:val="24"/>
          <w:lang w:val="en-US" w:eastAsia="zh-CN"/>
        </w:rPr>
        <w:t>12</w:t>
      </w:r>
      <w:r>
        <w:rPr>
          <w:rFonts w:hint="default" w:ascii="Times New Roman Regular" w:hAnsi="Times New Roman Regular" w:eastAsia="宋体" w:cs="Times New Roman Regular"/>
          <w:sz w:val="24"/>
          <w:szCs w:val="24"/>
          <w:lang w:val="en-US" w:eastAsia="zh-CN"/>
        </w:rPr>
        <w:t>月31日；</w:t>
      </w:r>
    </w:p>
    <w:p w14:paraId="073CED3B">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rPr>
        <w:t>(2)地理代表性：</w:t>
      </w:r>
      <w:r>
        <w:rPr>
          <w:rFonts w:hint="eastAsia" w:ascii="Times New Roman Regular" w:hAnsi="Times New Roman Regular" w:eastAsia="宋体" w:cs="Times New Roman Regular"/>
          <w:sz w:val="24"/>
          <w:szCs w:val="24"/>
          <w:lang w:val="en-US" w:eastAsia="zh-CN"/>
        </w:rPr>
        <w:t>主要初级活动数据来源</w:t>
      </w:r>
      <w:r>
        <w:rPr>
          <w:rFonts w:hint="default" w:ascii="Times New Roman Regular" w:hAnsi="Times New Roman Regular" w:eastAsia="宋体" w:cs="Times New Roman Regular"/>
          <w:sz w:val="24"/>
          <w:szCs w:val="24"/>
          <w:lang w:val="en-US" w:eastAsia="zh-CN"/>
        </w:rPr>
        <w:t>生产地址位于</w:t>
      </w:r>
      <w:r>
        <w:rPr>
          <w:rFonts w:hint="eastAsia" w:ascii="Times New Roman Regular" w:hAnsi="Times New Roman Regular" w:eastAsia="宋体" w:cs="Times New Roman Regular"/>
          <w:sz w:val="24"/>
          <w:szCs w:val="24"/>
          <w:lang w:val="en-US" w:eastAsia="zh-CN"/>
        </w:rPr>
        <w:t>安徽省淮南市谢家集区卧园路</w:t>
      </w:r>
      <w:r>
        <w:rPr>
          <w:rFonts w:hint="default" w:ascii="Times New Roman Regular" w:hAnsi="Times New Roman Regular" w:eastAsia="宋体" w:cs="Times New Roman Regular"/>
          <w:sz w:val="24"/>
          <w:szCs w:val="24"/>
          <w:lang w:eastAsia="zh-CN"/>
        </w:rPr>
        <w:t>；</w:t>
      </w:r>
      <w:r>
        <w:rPr>
          <w:rFonts w:hint="eastAsia" w:ascii="Times New Roman Regular" w:hAnsi="Times New Roman Regular" w:eastAsia="宋体" w:cs="Times New Roman Regular"/>
          <w:sz w:val="24"/>
          <w:szCs w:val="24"/>
          <w:lang w:val="en-US" w:eastAsia="zh-CN"/>
        </w:rPr>
        <w:t>次级活动数据优先使用实测数据，没有实测数据，依次选用区域、国家、国际认可的背景数据。</w:t>
      </w:r>
    </w:p>
    <w:p w14:paraId="4765A5B5">
      <w:pPr>
        <w:spacing w:line="360" w:lineRule="auto"/>
        <w:ind w:firstLine="480" w:firstLineChars="200"/>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t>(3)技术代表性如下：</w:t>
      </w:r>
    </w:p>
    <w:p w14:paraId="37ACA437">
      <w:pPr>
        <w:spacing w:line="360" w:lineRule="auto"/>
        <w:ind w:firstLine="480" w:firstLineChars="200"/>
      </w:pPr>
      <w:r>
        <w:rPr>
          <w:rFonts w:hint="default" w:ascii="Times New Roman Regular" w:hAnsi="Times New Roman Regular" w:eastAsia="宋体" w:cs="Times New Roman Regular"/>
          <w:sz w:val="24"/>
          <w:szCs w:val="24"/>
        </w:rPr>
        <w:t>a)生产工艺流程：</w:t>
      </w:r>
      <w:r>
        <w:rPr>
          <w:rFonts w:hint="eastAsia" w:ascii="Times New Roman Regular" w:hAnsi="Times New Roman Regular" w:eastAsia="宋体" w:cs="Times New Roman Regular"/>
          <w:sz w:val="24"/>
          <w:szCs w:val="24"/>
          <w:lang w:eastAsia="zh-CN"/>
        </w:rPr>
        <w:t>锚固剂的生产过程概括为树脂胶泥组分和固化剂组分的分别制作，通过锚固剂包装机包装成药卷的过程。树脂胶泥组分的制作工艺流程为树脂预混料工序、胶泥预混料工序；固化剂组分的制作工艺流程为固化剂预混料工序、固化剂糊混料工序。两组分通过计量、泵送至包装机包装（锚固剂灌装工序），按不同规格型号剪切、装箱、打包、入库。</w:t>
      </w:r>
    </w:p>
    <w:p w14:paraId="1D163132">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rPr>
        <w:t>b)主要原料：</w:t>
      </w:r>
      <w:r>
        <w:rPr>
          <w:rFonts w:hint="eastAsia" w:ascii="Times New Roman Regular" w:hAnsi="Times New Roman Regular" w:eastAsia="宋体" w:cs="Times New Roman Regular"/>
          <w:sz w:val="24"/>
          <w:szCs w:val="24"/>
          <w:lang w:val="en-US" w:eastAsia="zh-CN"/>
        </w:rPr>
        <w:t>不饱和脂树脂、石粉等</w:t>
      </w:r>
    </w:p>
    <w:p w14:paraId="7769FC04">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rPr>
        <w:t>c)生产规模（年产能）：</w:t>
      </w:r>
      <w:r>
        <w:rPr>
          <w:rFonts w:hint="eastAsia" w:ascii="Times New Roman Regular" w:hAnsi="Times New Roman Regular" w:eastAsia="宋体" w:cs="Times New Roman Regular"/>
          <w:sz w:val="24"/>
          <w:szCs w:val="24"/>
          <w:lang w:val="en-US" w:eastAsia="zh-CN"/>
        </w:rPr>
        <w:t>50000吨，2024年总产量14070吨；</w:t>
      </w:r>
    </w:p>
    <w:p w14:paraId="4433F4C7">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rPr>
        <w:t>d)主要能耗：</w:t>
      </w:r>
      <w:r>
        <w:rPr>
          <w:rFonts w:hint="eastAsia" w:ascii="Times New Roman Regular" w:hAnsi="Times New Roman Regular" w:eastAsia="宋体" w:cs="Times New Roman Regular"/>
          <w:sz w:val="24"/>
          <w:szCs w:val="24"/>
          <w:lang w:val="en-US" w:eastAsia="zh-CN"/>
        </w:rPr>
        <w:t>电力、天然气。</w:t>
      </w:r>
    </w:p>
    <w:p w14:paraId="414CA75F">
      <w:pPr>
        <w:spacing w:line="360" w:lineRule="auto"/>
        <w:ind w:firstLine="480" w:firstLineChars="200"/>
        <w:rPr>
          <w:rFonts w:hint="default" w:ascii="Times New Roman Regular" w:hAnsi="Times New Roman Regular" w:eastAsia="宋体" w:cs="Times New Roman Regular"/>
          <w:sz w:val="24"/>
          <w:szCs w:val="24"/>
        </w:rPr>
      </w:pPr>
      <w:r>
        <w:rPr>
          <w:rFonts w:hint="eastAsia" w:ascii="Times New Roman Regular" w:hAnsi="Times New Roman Regular" w:eastAsia="宋体" w:cs="Times New Roman Regular"/>
          <w:sz w:val="24"/>
          <w:szCs w:val="24"/>
        </w:rPr>
        <w:t>数据质量可从定性和定量两个方面对报告使用的初级数据和次级数据进行评价，具体评价内容包括数据来源、完整性、数据代表性（时间、地理、技术）和准确性。</w:t>
      </w:r>
    </w:p>
    <w:p w14:paraId="7CBD4FDD">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数据的技术代表性可参考表4-4.1给出相应判断。</w:t>
      </w:r>
    </w:p>
    <w:p w14:paraId="27E71F75">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表4-4.1数据技术代表性评价规则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6949"/>
      </w:tblGrid>
      <w:tr w14:paraId="1F46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2520B8CD">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TeR等级</w:t>
            </w:r>
          </w:p>
        </w:tc>
        <w:tc>
          <w:tcPr>
            <w:tcW w:w="6949" w:type="dxa"/>
            <w:vAlign w:val="center"/>
          </w:tcPr>
          <w:p w14:paraId="70F47867">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说明</w:t>
            </w:r>
          </w:p>
        </w:tc>
      </w:tr>
      <w:tr w14:paraId="78CF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2449583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1</w:t>
            </w:r>
          </w:p>
        </w:tc>
        <w:tc>
          <w:tcPr>
            <w:tcW w:w="6949" w:type="dxa"/>
            <w:vAlign w:val="center"/>
          </w:tcPr>
          <w:p w14:paraId="71BE618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工艺、设备、原料完全一致（如使用相同生产线数据）</w:t>
            </w:r>
          </w:p>
        </w:tc>
      </w:tr>
      <w:tr w14:paraId="25AF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38AAA64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2</w:t>
            </w:r>
          </w:p>
        </w:tc>
        <w:tc>
          <w:tcPr>
            <w:tcW w:w="6949" w:type="dxa"/>
            <w:vAlign w:val="center"/>
          </w:tcPr>
          <w:p w14:paraId="51E9A2D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主要工艺相同、次要参数差异（如设备型号不同）</w:t>
            </w:r>
          </w:p>
        </w:tc>
      </w:tr>
      <w:tr w14:paraId="7B58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03E3C0D7">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3</w:t>
            </w:r>
          </w:p>
        </w:tc>
        <w:tc>
          <w:tcPr>
            <w:tcW w:w="6949" w:type="dxa"/>
            <w:vAlign w:val="center"/>
          </w:tcPr>
          <w:p w14:paraId="5E8F643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工艺相似但原料或设备差异较大（如不同工艺路线的同类产品）</w:t>
            </w:r>
          </w:p>
        </w:tc>
      </w:tr>
      <w:tr w14:paraId="4605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1D4EF1A5">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4</w:t>
            </w:r>
          </w:p>
        </w:tc>
        <w:tc>
          <w:tcPr>
            <w:tcW w:w="6949" w:type="dxa"/>
            <w:vAlign w:val="center"/>
          </w:tcPr>
          <w:p w14:paraId="7F9966D0">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仅部分技术特征匹配（如原料不同但产品功能相似）</w:t>
            </w:r>
          </w:p>
        </w:tc>
      </w:tr>
      <w:tr w14:paraId="1B28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7013517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5</w:t>
            </w:r>
          </w:p>
        </w:tc>
        <w:tc>
          <w:tcPr>
            <w:tcW w:w="6949" w:type="dxa"/>
            <w:vAlign w:val="center"/>
          </w:tcPr>
          <w:p w14:paraId="266A307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技术完全不匹配或未说明</w:t>
            </w:r>
          </w:p>
        </w:tc>
      </w:tr>
    </w:tbl>
    <w:p w14:paraId="064FE71A">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数据的地理代表性可参考表4-4.2给出相应判断。</w:t>
      </w:r>
    </w:p>
    <w:p w14:paraId="23703E4B">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表4-4.2数据地理代表性评价规则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6918"/>
      </w:tblGrid>
      <w:tr w14:paraId="47C0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4FD7E7E3">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GR</w:t>
            </w:r>
            <w:r>
              <w:rPr>
                <w:rFonts w:hint="eastAsia" w:ascii="Times New Roman Regular" w:hAnsi="Times New Roman Regular" w:eastAsia="宋体" w:cs="Times New Roman Regular"/>
                <w:sz w:val="21"/>
                <w:szCs w:val="21"/>
                <w:vertAlign w:val="baseline"/>
                <w:lang w:val="en-US" w:eastAsia="zh-CN"/>
              </w:rPr>
              <w:t>等级</w:t>
            </w:r>
          </w:p>
        </w:tc>
        <w:tc>
          <w:tcPr>
            <w:tcW w:w="6918" w:type="dxa"/>
            <w:vAlign w:val="center"/>
          </w:tcPr>
          <w:p w14:paraId="50747AE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说明（以上海为例）</w:t>
            </w:r>
          </w:p>
        </w:tc>
      </w:tr>
      <w:tr w14:paraId="33E5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0FE043F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w:t>
            </w:r>
          </w:p>
        </w:tc>
        <w:tc>
          <w:tcPr>
            <w:tcW w:w="6918" w:type="dxa"/>
            <w:vAlign w:val="center"/>
          </w:tcPr>
          <w:p w14:paraId="5A59383C">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本地数据（如企业生产现场数据）</w:t>
            </w:r>
          </w:p>
        </w:tc>
      </w:tr>
      <w:tr w14:paraId="0BC4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655FBAC9">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2</w:t>
            </w:r>
          </w:p>
        </w:tc>
        <w:tc>
          <w:tcPr>
            <w:tcW w:w="6918" w:type="dxa"/>
            <w:vAlign w:val="center"/>
          </w:tcPr>
          <w:p w14:paraId="7E625A03">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同区域数据（如华东区数据）</w:t>
            </w:r>
          </w:p>
        </w:tc>
      </w:tr>
      <w:tr w14:paraId="7F53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260DE120">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3</w:t>
            </w:r>
          </w:p>
        </w:tc>
        <w:tc>
          <w:tcPr>
            <w:tcW w:w="6918" w:type="dxa"/>
            <w:vAlign w:val="center"/>
          </w:tcPr>
          <w:p w14:paraId="2B7E5AEF">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中国其他地区数据（如广东省数据）</w:t>
            </w:r>
          </w:p>
        </w:tc>
      </w:tr>
      <w:tr w14:paraId="3190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4BCE1845">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4</w:t>
            </w:r>
          </w:p>
        </w:tc>
        <w:tc>
          <w:tcPr>
            <w:tcW w:w="6918" w:type="dxa"/>
            <w:vAlign w:val="center"/>
          </w:tcPr>
          <w:p w14:paraId="61900FB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亚洲其他国家数据（如日本、韩国数据）</w:t>
            </w:r>
          </w:p>
        </w:tc>
      </w:tr>
      <w:tr w14:paraId="0C2E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478D547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5</w:t>
            </w:r>
          </w:p>
        </w:tc>
        <w:tc>
          <w:tcPr>
            <w:tcW w:w="6918" w:type="dxa"/>
            <w:vAlign w:val="center"/>
          </w:tcPr>
          <w:p w14:paraId="23455BDC">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其他地区或未明确来源数据</w:t>
            </w:r>
          </w:p>
        </w:tc>
      </w:tr>
    </w:tbl>
    <w:p w14:paraId="439DAE65">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数据的时间代表性可参考表4-4.3给出相应判断。</w:t>
      </w:r>
    </w:p>
    <w:p w14:paraId="603457AC">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表4-4.3数据时间代表性评价规则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6980"/>
      </w:tblGrid>
      <w:tr w14:paraId="777E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5FF0BF2D">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T</w:t>
            </w:r>
            <w:r>
              <w:rPr>
                <w:rFonts w:hint="eastAsia" w:ascii="Times New Roman Regular" w:hAnsi="Times New Roman Regular" w:eastAsia="宋体" w:cs="Times New Roman Regular"/>
                <w:sz w:val="21"/>
                <w:szCs w:val="21"/>
                <w:vertAlign w:val="baseline"/>
                <w:lang w:val="en-US" w:eastAsia="zh-CN"/>
              </w:rPr>
              <w:t>i</w:t>
            </w:r>
            <w:r>
              <w:rPr>
                <w:rFonts w:hint="default" w:ascii="Times New Roman Regular" w:hAnsi="Times New Roman Regular" w:eastAsia="宋体" w:cs="Times New Roman Regular"/>
                <w:sz w:val="21"/>
                <w:szCs w:val="21"/>
                <w:vertAlign w:val="baseline"/>
                <w:lang w:val="en-US" w:eastAsia="zh-CN"/>
              </w:rPr>
              <w:t>R</w:t>
            </w:r>
            <w:r>
              <w:rPr>
                <w:rFonts w:hint="eastAsia" w:ascii="Times New Roman Regular" w:hAnsi="Times New Roman Regular" w:eastAsia="宋体" w:cs="Times New Roman Regular"/>
                <w:sz w:val="21"/>
                <w:szCs w:val="21"/>
                <w:vertAlign w:val="baseline"/>
                <w:lang w:val="en-US" w:eastAsia="zh-CN"/>
              </w:rPr>
              <w:t>等级</w:t>
            </w:r>
          </w:p>
        </w:tc>
        <w:tc>
          <w:tcPr>
            <w:tcW w:w="6980" w:type="dxa"/>
            <w:vAlign w:val="center"/>
          </w:tcPr>
          <w:p w14:paraId="0A499BA9">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说明</w:t>
            </w:r>
          </w:p>
        </w:tc>
      </w:tr>
      <w:tr w14:paraId="73A5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11A5B35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w:t>
            </w:r>
          </w:p>
        </w:tc>
        <w:tc>
          <w:tcPr>
            <w:tcW w:w="6980" w:type="dxa"/>
            <w:vAlign w:val="center"/>
          </w:tcPr>
          <w:p w14:paraId="03E8D9A8">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3年内数据（如2025年评价使用2023年数据）</w:t>
            </w:r>
          </w:p>
        </w:tc>
      </w:tr>
      <w:tr w14:paraId="7F3A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7BAC4B2F">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2</w:t>
            </w:r>
          </w:p>
        </w:tc>
        <w:tc>
          <w:tcPr>
            <w:tcW w:w="6980" w:type="dxa"/>
            <w:vAlign w:val="center"/>
          </w:tcPr>
          <w:p w14:paraId="7DB12175">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4～6年内数据</w:t>
            </w:r>
          </w:p>
        </w:tc>
      </w:tr>
      <w:tr w14:paraId="368B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683A175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3</w:t>
            </w:r>
          </w:p>
        </w:tc>
        <w:tc>
          <w:tcPr>
            <w:tcW w:w="6980" w:type="dxa"/>
            <w:vAlign w:val="center"/>
          </w:tcPr>
          <w:p w14:paraId="1EDAC919">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7～10年内数据</w:t>
            </w:r>
          </w:p>
        </w:tc>
      </w:tr>
      <w:tr w14:paraId="0469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3D27A85E">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4</w:t>
            </w:r>
          </w:p>
        </w:tc>
        <w:tc>
          <w:tcPr>
            <w:tcW w:w="6980" w:type="dxa"/>
            <w:vAlign w:val="center"/>
          </w:tcPr>
          <w:p w14:paraId="5AA8FE7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11～15年内数据</w:t>
            </w:r>
          </w:p>
        </w:tc>
      </w:tr>
      <w:tr w14:paraId="3043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0683B2C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5</w:t>
            </w:r>
          </w:p>
        </w:tc>
        <w:tc>
          <w:tcPr>
            <w:tcW w:w="6980" w:type="dxa"/>
            <w:vAlign w:val="center"/>
          </w:tcPr>
          <w:p w14:paraId="256A485D">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15年以上或未标明年份</w:t>
            </w:r>
          </w:p>
        </w:tc>
      </w:tr>
    </w:tbl>
    <w:p w14:paraId="16890CB4">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数据的完整性可参考表4-4.4给出相应判断。</w:t>
      </w:r>
    </w:p>
    <w:p w14:paraId="52C72AD6">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表4-4.4数据完整性评价规则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6980"/>
      </w:tblGrid>
      <w:tr w14:paraId="640A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6B5327C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C</w:t>
            </w:r>
            <w:r>
              <w:rPr>
                <w:rFonts w:hint="eastAsia" w:ascii="Times New Roman Regular" w:hAnsi="Times New Roman Regular" w:eastAsia="宋体" w:cs="Times New Roman Regular"/>
                <w:sz w:val="21"/>
                <w:szCs w:val="21"/>
                <w:vertAlign w:val="baseline"/>
                <w:lang w:val="en-US" w:eastAsia="zh-CN"/>
              </w:rPr>
              <w:t>等级</w:t>
            </w:r>
          </w:p>
        </w:tc>
        <w:tc>
          <w:tcPr>
            <w:tcW w:w="6980" w:type="dxa"/>
            <w:vAlign w:val="center"/>
          </w:tcPr>
          <w:p w14:paraId="77814538">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说明</w:t>
            </w:r>
          </w:p>
        </w:tc>
      </w:tr>
      <w:tr w14:paraId="5879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7E4BFC43">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w:t>
            </w:r>
          </w:p>
        </w:tc>
        <w:tc>
          <w:tcPr>
            <w:tcW w:w="6980" w:type="dxa"/>
            <w:vAlign w:val="center"/>
          </w:tcPr>
          <w:p w14:paraId="0955DFD5">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覆盖全部关键环节且数据详细</w:t>
            </w:r>
          </w:p>
        </w:tc>
      </w:tr>
      <w:tr w14:paraId="4F45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1BE36C9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2</w:t>
            </w:r>
          </w:p>
        </w:tc>
        <w:tc>
          <w:tcPr>
            <w:tcW w:w="6980" w:type="dxa"/>
            <w:vAlign w:val="center"/>
          </w:tcPr>
          <w:p w14:paraId="493EB8EC">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覆盖主要环节，次要环节缺失</w:t>
            </w:r>
          </w:p>
        </w:tc>
      </w:tr>
      <w:tr w14:paraId="15F7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399D5DD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3</w:t>
            </w:r>
          </w:p>
        </w:tc>
        <w:tc>
          <w:tcPr>
            <w:tcW w:w="6980" w:type="dxa"/>
            <w:vAlign w:val="center"/>
          </w:tcPr>
          <w:p w14:paraId="4132918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仅覆盖部分关键环节（如缺少运输或包装数据）</w:t>
            </w:r>
          </w:p>
        </w:tc>
      </w:tr>
      <w:tr w14:paraId="5FE0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5E4636DD">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4</w:t>
            </w:r>
          </w:p>
        </w:tc>
        <w:tc>
          <w:tcPr>
            <w:tcW w:w="6980" w:type="dxa"/>
            <w:vAlign w:val="center"/>
          </w:tcPr>
          <w:p w14:paraId="43B00EA0">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数据严重缺失（如仅提供能耗数据）</w:t>
            </w:r>
          </w:p>
        </w:tc>
      </w:tr>
      <w:tr w14:paraId="5A4D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5F120312">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5</w:t>
            </w:r>
          </w:p>
        </w:tc>
        <w:tc>
          <w:tcPr>
            <w:tcW w:w="6980" w:type="dxa"/>
            <w:vAlign w:val="center"/>
          </w:tcPr>
          <w:p w14:paraId="001150FE">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未提供完整性说明或数据明显不完整</w:t>
            </w:r>
          </w:p>
        </w:tc>
      </w:tr>
    </w:tbl>
    <w:p w14:paraId="5A30E525">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数据的来源可靠性可参考表4-4.5给出相应判断。</w:t>
      </w:r>
    </w:p>
    <w:p w14:paraId="211ADEDB">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表4-4.5数据来源可靠性评价规则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7027"/>
      </w:tblGrid>
      <w:tr w14:paraId="6754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338983F2">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R</w:t>
            </w:r>
            <w:r>
              <w:rPr>
                <w:rFonts w:hint="eastAsia" w:ascii="Times New Roman Regular" w:hAnsi="Times New Roman Regular" w:eastAsia="宋体" w:cs="Times New Roman Regular"/>
                <w:sz w:val="21"/>
                <w:szCs w:val="21"/>
                <w:vertAlign w:val="baseline"/>
                <w:lang w:val="en-US" w:eastAsia="zh-CN"/>
              </w:rPr>
              <w:t>等级</w:t>
            </w:r>
          </w:p>
        </w:tc>
        <w:tc>
          <w:tcPr>
            <w:tcW w:w="7027" w:type="dxa"/>
            <w:vAlign w:val="center"/>
          </w:tcPr>
          <w:p w14:paraId="401F74C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说明</w:t>
            </w:r>
          </w:p>
        </w:tc>
      </w:tr>
      <w:tr w14:paraId="3DC4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0170F11E">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w:t>
            </w:r>
          </w:p>
        </w:tc>
        <w:tc>
          <w:tcPr>
            <w:tcW w:w="7027" w:type="dxa"/>
            <w:vAlign w:val="center"/>
          </w:tcPr>
          <w:p w14:paraId="5C01DB88">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经第三方验证的实测数据（如检测报告）</w:t>
            </w:r>
          </w:p>
        </w:tc>
      </w:tr>
      <w:tr w14:paraId="69BF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27032529">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2</w:t>
            </w:r>
          </w:p>
        </w:tc>
        <w:tc>
          <w:tcPr>
            <w:tcW w:w="7027" w:type="dxa"/>
            <w:vAlign w:val="center"/>
          </w:tcPr>
          <w:p w14:paraId="3B83E17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企业自行测量但未验证</w:t>
            </w:r>
          </w:p>
        </w:tc>
      </w:tr>
      <w:tr w14:paraId="3FBA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14FDD58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3</w:t>
            </w:r>
          </w:p>
        </w:tc>
        <w:tc>
          <w:tcPr>
            <w:tcW w:w="7027" w:type="dxa"/>
            <w:vAlign w:val="center"/>
          </w:tcPr>
          <w:p w14:paraId="53CD9D85">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基于行业标准计算的数据（如采用国家、地方发布的排放因子、基于产品设计标准、手册等文件进行的估算数据）</w:t>
            </w:r>
          </w:p>
        </w:tc>
      </w:tr>
      <w:tr w14:paraId="6E80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1A60AA82">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4</w:t>
            </w:r>
          </w:p>
        </w:tc>
        <w:tc>
          <w:tcPr>
            <w:tcW w:w="7027" w:type="dxa"/>
            <w:vAlign w:val="center"/>
          </w:tcPr>
          <w:p w14:paraId="4000A889">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假设数据但提供合理依据（如专家判断、文献参考或经验假设）</w:t>
            </w:r>
          </w:p>
        </w:tc>
      </w:tr>
      <w:tr w14:paraId="78D8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5DB591F0">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5</w:t>
            </w:r>
          </w:p>
        </w:tc>
        <w:tc>
          <w:tcPr>
            <w:tcW w:w="7027" w:type="dxa"/>
            <w:vAlign w:val="center"/>
          </w:tcPr>
          <w:p w14:paraId="5741B4B7">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未经验证的估算数据或无来源说明</w:t>
            </w:r>
          </w:p>
        </w:tc>
      </w:tr>
    </w:tbl>
    <w:p w14:paraId="5D6A4E74">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通过汇总各项数据质量评价结果，按各项数据对产品碳足迹结果贡献程度计算整体数据质量评分，见公式（1）和（2），计算结果对照表4-4.6对整体数据质量</w:t>
      </w:r>
      <w:r>
        <w:rPr>
          <w:rFonts w:hint="default" w:ascii="Times New Roman Regular" w:hAnsi="Times New Roman Regular" w:eastAsia="宋体" w:cs="Times New Roman Regular"/>
          <w:sz w:val="24"/>
          <w:szCs w:val="24"/>
          <w:lang w:val="en-US" w:eastAsia="zh-CN"/>
        </w:rPr>
        <w:t>DQR</w:t>
      </w:r>
      <w:r>
        <w:rPr>
          <w:rFonts w:hint="eastAsia" w:ascii="Times New Roman Regular" w:hAnsi="Times New Roman Regular" w:eastAsia="宋体" w:cs="Times New Roman Regular"/>
          <w:sz w:val="24"/>
          <w:szCs w:val="24"/>
          <w:lang w:val="en-US" w:eastAsia="zh-CN"/>
        </w:rPr>
        <w:t>进行评级。</w:t>
      </w:r>
    </w:p>
    <w:p w14:paraId="05F2C454">
      <w:pPr>
        <w:pStyle w:val="16"/>
        <w:jc w:val="right"/>
        <w:rPr>
          <w:rFonts w:hint="default" w:ascii="Times New Roman" w:hAnsi="Times New Roman" w:eastAsia="仿宋" w:cs="Times New Roman"/>
          <w:color w:val="auto"/>
          <w:kern w:val="2"/>
          <w:sz w:val="28"/>
          <w:szCs w:val="28"/>
          <w:lang w:val="en-US" w:eastAsia="zh-CN" w:bidi="ar-SA"/>
        </w:rPr>
      </w:pPr>
      <m:oMath>
        <m:r>
          <m:rPr/>
          <w:rPr>
            <w:rFonts w:hint="default" w:ascii="DejaVu Math TeX Gyre" w:hAnsi="DejaVu Math TeX Gyre" w:cstheme="minorBidi"/>
            <w:color w:val="auto"/>
            <w:kern w:val="2"/>
            <w:sz w:val="21"/>
            <w:szCs w:val="21"/>
            <w:lang w:val="en-US" w:eastAsia="zh-CN" w:bidi="ar-SA"/>
          </w:rPr>
          <m:t>DQR=</m:t>
        </m:r>
        <m:nary>
          <m:naryPr>
            <m:chr m:val="∑"/>
            <m:limLoc m:val="undOvr"/>
            <m:subHide m:val="1"/>
            <m:supHide m:val="1"/>
            <m:ctrlPr>
              <w:rPr>
                <w:rFonts w:hint="default" w:ascii="DejaVu Math TeX Gyre" w:hAnsi="DejaVu Math TeX Gyre" w:cstheme="minorBidi"/>
                <w:i/>
                <w:iCs/>
                <w:color w:val="auto"/>
                <w:kern w:val="2"/>
                <w:sz w:val="21"/>
                <w:szCs w:val="21"/>
                <w:lang w:val="en-US" w:eastAsia="zh-CN" w:bidi="ar-SA"/>
              </w:rPr>
            </m:ctrlPr>
          </m:naryPr>
          <m:sub>
            <m:ctrlPr>
              <w:rPr>
                <w:rFonts w:hint="default" w:ascii="DejaVu Math TeX Gyre" w:hAnsi="DejaVu Math TeX Gyre" w:cstheme="minorBidi"/>
                <w:i/>
                <w:iCs/>
                <w:color w:val="auto"/>
                <w:kern w:val="2"/>
                <w:sz w:val="21"/>
                <w:szCs w:val="21"/>
                <w:lang w:val="en-US" w:eastAsia="zh-CN" w:bidi="ar-SA"/>
              </w:rPr>
            </m:ctrlPr>
          </m:sub>
          <m:sup>
            <m:ctrlPr>
              <w:rPr>
                <w:rFonts w:hint="default" w:ascii="DejaVu Math TeX Gyre" w:hAnsi="DejaVu Math TeX Gyre" w:cstheme="minorBidi"/>
                <w:i/>
                <w:iCs/>
                <w:color w:val="auto"/>
                <w:kern w:val="2"/>
                <w:sz w:val="21"/>
                <w:szCs w:val="21"/>
                <w:lang w:val="en-US" w:eastAsia="zh-CN" w:bidi="ar-SA"/>
              </w:rPr>
            </m:ctrlPr>
          </m:sup>
          <m:e>
            <m:d>
              <m:dPr>
                <m:ctrlPr>
                  <w:rPr>
                    <w:rFonts w:hint="default" w:ascii="DejaVu Math TeX Gyre" w:hAnsi="DejaVu Math TeX Gyre" w:cstheme="minorBidi"/>
                    <w:i/>
                    <w:iCs/>
                    <w:color w:val="auto"/>
                    <w:kern w:val="2"/>
                    <w:sz w:val="21"/>
                    <w:szCs w:val="21"/>
                    <w:lang w:val="en-US" w:eastAsia="zh-CN" w:bidi="ar-SA"/>
                  </w:rPr>
                </m:ctrlPr>
              </m:dPr>
              <m:e>
                <m:f>
                  <m:fPr>
                    <m:ctrlPr>
                      <w:rPr>
                        <w:rFonts w:hint="default" w:ascii="DejaVu Math TeX Gyre" w:hAnsi="DejaVu Math TeX Gyre" w:cstheme="minorBidi"/>
                        <w:i/>
                        <w:iCs/>
                        <w:color w:val="auto"/>
                        <w:kern w:val="2"/>
                        <w:sz w:val="21"/>
                        <w:szCs w:val="21"/>
                        <w:lang w:val="en-US" w:eastAsia="zh-CN" w:bidi="ar-SA"/>
                      </w:rPr>
                    </m:ctrlPr>
                  </m:fPr>
                  <m:num>
                    <m:sSub>
                      <m:sSubPr>
                        <m:ctrlPr>
                          <w:rPr>
                            <w:rFonts w:hint="default" w:ascii="DejaVu Math TeX Gyre" w:hAnsi="DejaVu Math TeX Gyre" w:cstheme="minorBidi"/>
                            <w:i/>
                            <w:iCs/>
                            <w:color w:val="auto"/>
                            <w:kern w:val="2"/>
                            <w:sz w:val="21"/>
                            <w:szCs w:val="21"/>
                            <w:lang w:val="en-US" w:eastAsia="zh-CN" w:bidi="ar-SA"/>
                          </w:rPr>
                        </m:ctrlPr>
                      </m:sSubPr>
                      <m:e>
                        <m:r>
                          <m:rPr/>
                          <w:rPr>
                            <w:rFonts w:hint="default" w:ascii="DejaVu Math TeX Gyre" w:hAnsi="DejaVu Math TeX Gyre" w:cstheme="minorBidi"/>
                            <w:color w:val="auto"/>
                            <w:kern w:val="2"/>
                            <w:sz w:val="21"/>
                            <w:szCs w:val="21"/>
                            <w:lang w:val="en-US" w:eastAsia="zh-CN" w:bidi="ar-SA"/>
                          </w:rPr>
                          <m:t>DQR</m:t>
                        </m:r>
                        <m:ctrlPr>
                          <w:rPr>
                            <w:rFonts w:hint="default" w:ascii="DejaVu Math TeX Gyre" w:hAnsi="DejaVu Math TeX Gyre" w:cstheme="minorBidi"/>
                            <w:i/>
                            <w:iCs/>
                            <w:color w:val="auto"/>
                            <w:kern w:val="2"/>
                            <w:sz w:val="21"/>
                            <w:szCs w:val="21"/>
                            <w:lang w:val="en-US" w:eastAsia="zh-CN" w:bidi="ar-SA"/>
                          </w:rPr>
                        </m:ctrlPr>
                      </m:e>
                      <m:sub>
                        <m:r>
                          <m:rPr/>
                          <w:rPr>
                            <w:rFonts w:hint="default" w:ascii="DejaVu Math TeX Gyre" w:hAnsi="DejaVu Math TeX Gyre" w:cstheme="minorBidi"/>
                            <w:color w:val="auto"/>
                            <w:kern w:val="2"/>
                            <w:sz w:val="21"/>
                            <w:szCs w:val="21"/>
                            <w:lang w:val="en-US" w:eastAsia="zh-CN" w:bidi="ar-SA"/>
                          </w:rPr>
                          <m:t>活动数据i</m:t>
                        </m:r>
                        <m:ctrlPr>
                          <w:rPr>
                            <w:rFonts w:hint="default" w:ascii="DejaVu Math TeX Gyre" w:hAnsi="DejaVu Math TeX Gyre" w:cstheme="minorBidi"/>
                            <w:i/>
                            <w:iCs/>
                            <w:color w:val="auto"/>
                            <w:kern w:val="2"/>
                            <w:sz w:val="21"/>
                            <w:szCs w:val="21"/>
                            <w:lang w:val="en-US" w:eastAsia="zh-CN" w:bidi="ar-SA"/>
                          </w:rPr>
                        </m:ctrlPr>
                      </m:sub>
                    </m:sSub>
                    <m:r>
                      <m:rPr/>
                      <w:rPr>
                        <w:rFonts w:hint="default" w:ascii="DejaVu Math TeX Gyre" w:hAnsi="DejaVu Math TeX Gyre" w:cstheme="minorBidi"/>
                        <w:color w:val="auto"/>
                        <w:kern w:val="2"/>
                        <w:sz w:val="21"/>
                        <w:szCs w:val="21"/>
                        <w:lang w:val="en-US" w:eastAsia="zh-CN" w:bidi="ar-SA"/>
                      </w:rPr>
                      <m:t>+</m:t>
                    </m:r>
                    <m:sSub>
                      <m:sSubPr>
                        <m:ctrlPr>
                          <w:rPr>
                            <w:rFonts w:hint="default" w:ascii="DejaVu Math TeX Gyre" w:hAnsi="DejaVu Math TeX Gyre" w:cstheme="minorBidi"/>
                            <w:i/>
                            <w:iCs/>
                            <w:color w:val="auto"/>
                            <w:kern w:val="2"/>
                            <w:sz w:val="21"/>
                            <w:szCs w:val="21"/>
                            <w:lang w:val="en-US" w:eastAsia="zh-CN" w:bidi="ar-SA"/>
                          </w:rPr>
                        </m:ctrlPr>
                      </m:sSubPr>
                      <m:e>
                        <m:r>
                          <m:rPr/>
                          <w:rPr>
                            <w:rFonts w:hint="default" w:ascii="DejaVu Math TeX Gyre" w:hAnsi="DejaVu Math TeX Gyre" w:cstheme="minorBidi"/>
                            <w:color w:val="auto"/>
                            <w:kern w:val="2"/>
                            <w:sz w:val="21"/>
                            <w:szCs w:val="21"/>
                            <w:lang w:val="en-US" w:eastAsia="zh-CN" w:bidi="ar-SA"/>
                          </w:rPr>
                          <m:t>DQR</m:t>
                        </m:r>
                        <m:ctrlPr>
                          <w:rPr>
                            <w:rFonts w:hint="default" w:ascii="DejaVu Math TeX Gyre" w:hAnsi="DejaVu Math TeX Gyre" w:cstheme="minorBidi"/>
                            <w:i/>
                            <w:iCs/>
                            <w:color w:val="auto"/>
                            <w:kern w:val="2"/>
                            <w:sz w:val="21"/>
                            <w:szCs w:val="21"/>
                            <w:lang w:val="en-US" w:eastAsia="zh-CN" w:bidi="ar-SA"/>
                          </w:rPr>
                        </m:ctrlPr>
                      </m:e>
                      <m:sub>
                        <m:r>
                          <m:rPr/>
                          <w:rPr>
                            <w:rFonts w:hint="eastAsia" w:ascii="DejaVu Math TeX Gyre" w:hAnsi="DejaVu Math TeX Gyre" w:cstheme="minorBidi"/>
                            <w:color w:val="auto"/>
                            <w:kern w:val="2"/>
                            <w:sz w:val="21"/>
                            <w:szCs w:val="21"/>
                            <w:lang w:val="en-US" w:eastAsia="zh-CN" w:bidi="ar-SA"/>
                          </w:rPr>
                          <m:t>排放因子</m:t>
                        </m:r>
                        <m:r>
                          <m:rPr/>
                          <w:rPr>
                            <w:rFonts w:hint="default" w:ascii="DejaVu Math TeX Gyre" w:hAnsi="DejaVu Math TeX Gyre" w:cstheme="minorBidi"/>
                            <w:color w:val="auto"/>
                            <w:kern w:val="2"/>
                            <w:sz w:val="21"/>
                            <w:szCs w:val="21"/>
                            <w:lang w:val="en-US" w:eastAsia="zh-CN" w:bidi="ar-SA"/>
                          </w:rPr>
                          <m:t>i</m:t>
                        </m:r>
                        <m:ctrlPr>
                          <w:rPr>
                            <w:rFonts w:hint="default" w:ascii="DejaVu Math TeX Gyre" w:hAnsi="DejaVu Math TeX Gyre" w:cstheme="minorBidi"/>
                            <w:i/>
                            <w:iCs/>
                            <w:color w:val="auto"/>
                            <w:kern w:val="2"/>
                            <w:sz w:val="21"/>
                            <w:szCs w:val="21"/>
                            <w:lang w:val="en-US" w:eastAsia="zh-CN" w:bidi="ar-SA"/>
                          </w:rPr>
                        </m:ctrlPr>
                      </m:sub>
                    </m:sSub>
                    <m:ctrlPr>
                      <w:rPr>
                        <w:rFonts w:hint="default" w:ascii="DejaVu Math TeX Gyre" w:hAnsi="DejaVu Math TeX Gyre" w:cstheme="minorBidi"/>
                        <w:i/>
                        <w:iCs/>
                        <w:color w:val="auto"/>
                        <w:kern w:val="2"/>
                        <w:sz w:val="21"/>
                        <w:szCs w:val="21"/>
                        <w:lang w:val="en-US" w:eastAsia="zh-CN" w:bidi="ar-SA"/>
                      </w:rPr>
                    </m:ctrlPr>
                  </m:num>
                  <m:den>
                    <m:r>
                      <m:rPr/>
                      <w:rPr>
                        <w:rFonts w:hint="default" w:ascii="DejaVu Math TeX Gyre" w:hAnsi="DejaVu Math TeX Gyre" w:cstheme="minorBidi"/>
                        <w:color w:val="auto"/>
                        <w:kern w:val="2"/>
                        <w:sz w:val="21"/>
                        <w:szCs w:val="21"/>
                        <w:lang w:val="en-US" w:eastAsia="zh-CN" w:bidi="ar-SA"/>
                      </w:rPr>
                      <m:t>2</m:t>
                    </m:r>
                    <m:ctrlPr>
                      <w:rPr>
                        <w:rFonts w:hint="default" w:ascii="DejaVu Math TeX Gyre" w:hAnsi="DejaVu Math TeX Gyre" w:cstheme="minorBidi"/>
                        <w:i/>
                        <w:iCs/>
                        <w:color w:val="auto"/>
                        <w:kern w:val="2"/>
                        <w:sz w:val="21"/>
                        <w:szCs w:val="21"/>
                        <w:lang w:val="en-US" w:eastAsia="zh-CN" w:bidi="ar-SA"/>
                      </w:rPr>
                    </m:ctrlPr>
                  </m:den>
                </m:f>
                <m:r>
                  <m:rPr/>
                  <w:rPr>
                    <w:rFonts w:ascii="DejaVu Math TeX Gyre" w:hAnsi="DejaVu Math TeX Gyre" w:cstheme="minorBidi"/>
                    <w:color w:val="auto"/>
                    <w:kern w:val="2"/>
                    <w:sz w:val="21"/>
                    <w:szCs w:val="21"/>
                    <w:lang w:val="en-US" w:bidi="ar-SA"/>
                  </w:rPr>
                  <m:t>×</m:t>
                </m:r>
                <m:sSub>
                  <m:sSubPr>
                    <m:ctrlPr>
                      <w:rPr>
                        <w:rFonts w:ascii="DejaVu Math TeX Gyre" w:hAnsi="DejaVu Math TeX Gyre" w:cstheme="minorBidi"/>
                        <w:i/>
                        <w:iCs/>
                        <w:color w:val="auto"/>
                        <w:kern w:val="2"/>
                        <w:sz w:val="21"/>
                        <w:szCs w:val="21"/>
                        <w:lang w:val="en-US" w:bidi="ar-SA"/>
                      </w:rPr>
                    </m:ctrlPr>
                  </m:sSubPr>
                  <m:e>
                    <m:r>
                      <m:rPr/>
                      <w:rPr>
                        <w:rFonts w:hint="eastAsia" w:ascii="DejaVu Math TeX Gyre" w:hAnsi="DejaVu Math TeX Gyre" w:cstheme="minorBidi"/>
                        <w:color w:val="auto"/>
                        <w:kern w:val="2"/>
                        <w:sz w:val="21"/>
                        <w:szCs w:val="21"/>
                        <w:lang w:val="en-US" w:eastAsia="zh-CN" w:bidi="ar-SA"/>
                      </w:rPr>
                      <m:t>碳足迹贡献</m:t>
                    </m:r>
                    <m:ctrlPr>
                      <w:rPr>
                        <w:rFonts w:ascii="DejaVu Math TeX Gyre" w:hAnsi="DejaVu Math TeX Gyre" w:cstheme="minorBidi"/>
                        <w:i/>
                        <w:iCs/>
                        <w:color w:val="auto"/>
                        <w:kern w:val="2"/>
                        <w:sz w:val="21"/>
                        <w:szCs w:val="21"/>
                        <w:lang w:val="en-US" w:bidi="ar-SA"/>
                      </w:rPr>
                    </m:ctrlPr>
                  </m:e>
                  <m:sub>
                    <m:r>
                      <m:rPr/>
                      <w:rPr>
                        <w:rFonts w:hint="default" w:ascii="DejaVu Math TeX Gyre" w:hAnsi="DejaVu Math TeX Gyre" w:cstheme="minorBidi"/>
                        <w:color w:val="auto"/>
                        <w:kern w:val="2"/>
                        <w:sz w:val="21"/>
                        <w:szCs w:val="21"/>
                        <w:lang w:val="en-US" w:eastAsia="zh-CN" w:bidi="ar-SA"/>
                      </w:rPr>
                      <m:t>i</m:t>
                    </m:r>
                    <m:ctrlPr>
                      <w:rPr>
                        <w:rFonts w:ascii="DejaVu Math TeX Gyre" w:hAnsi="DejaVu Math TeX Gyre" w:cstheme="minorBidi"/>
                        <w:i/>
                        <w:iCs/>
                        <w:color w:val="auto"/>
                        <w:kern w:val="2"/>
                        <w:sz w:val="21"/>
                        <w:szCs w:val="21"/>
                        <w:lang w:val="en-US" w:bidi="ar-SA"/>
                      </w:rPr>
                    </m:ctrlPr>
                  </m:sub>
                </m:sSub>
                <m:ctrlPr>
                  <w:rPr>
                    <w:rFonts w:hint="default" w:ascii="DejaVu Math TeX Gyre" w:hAnsi="DejaVu Math TeX Gyre" w:cstheme="minorBidi"/>
                    <w:i/>
                    <w:iCs/>
                    <w:color w:val="auto"/>
                    <w:kern w:val="2"/>
                    <w:sz w:val="21"/>
                    <w:szCs w:val="21"/>
                    <w:lang w:val="en-US" w:eastAsia="zh-CN" w:bidi="ar-SA"/>
                  </w:rPr>
                </m:ctrlPr>
              </m:e>
            </m:d>
            <m:ctrlPr>
              <w:rPr>
                <w:rFonts w:hint="default" w:ascii="DejaVu Math TeX Gyre" w:hAnsi="DejaVu Math TeX Gyre" w:cstheme="minorBidi"/>
                <w:i/>
                <w:iCs/>
                <w:color w:val="auto"/>
                <w:kern w:val="2"/>
                <w:sz w:val="21"/>
                <w:szCs w:val="21"/>
                <w:lang w:val="en-US" w:eastAsia="zh-CN" w:bidi="ar-SA"/>
              </w:rPr>
            </m:ctrlPr>
          </m:e>
        </m:nary>
      </m:oMath>
      <w:r>
        <w:rPr>
          <w:rFonts w:hint="default" w:ascii="Times New Roman" w:hAnsi="Times New Roman" w:eastAsia="仿宋" w:cs="Times New Roman"/>
          <w:color w:val="auto"/>
          <w:kern w:val="2"/>
          <w:sz w:val="28"/>
          <w:szCs w:val="28"/>
          <w:lang w:val="en-US" w:eastAsia="zh-CN" w:bidi="ar-SA"/>
        </w:rPr>
        <w:t xml:space="preserve"> </w:t>
      </w:r>
      <w:r>
        <w:rPr>
          <w:rFonts w:hint="default" w:ascii="Times New Roman" w:hAnsi="Times New Roman" w:eastAsia="仿宋" w:cs="Times New Roman"/>
          <w:color w:val="auto"/>
          <w:kern w:val="2"/>
          <w:sz w:val="24"/>
          <w:szCs w:val="24"/>
          <w:lang w:val="en-US" w:eastAsia="zh-CN" w:bidi="ar-SA"/>
        </w:rPr>
        <w:t xml:space="preserve">        </w:t>
      </w:r>
      <w:r>
        <w:rPr>
          <w:rFonts w:hint="eastAsia" w:hAnsi="Times New Roman" w:eastAsia="仿宋" w:cs="Times New Roman"/>
          <w:color w:val="auto"/>
          <w:kern w:val="2"/>
          <w:sz w:val="24"/>
          <w:szCs w:val="24"/>
          <w:lang w:val="en-US" w:eastAsia="zh-CN" w:bidi="ar-SA"/>
        </w:rPr>
        <w:t>（1）</w:t>
      </w:r>
    </w:p>
    <w:p w14:paraId="3635E345">
      <w:pPr>
        <w:spacing w:line="360" w:lineRule="auto"/>
        <w:ind w:firstLine="560" w:firstLineChars="200"/>
        <w:jc w:val="right"/>
        <w:rPr>
          <w:rFonts w:hint="default" w:ascii="Times New Roman" w:hAnsi="Times New Roman" w:eastAsia="仿宋" w:cs="Times New Roman"/>
          <w:color w:val="auto"/>
          <w:kern w:val="2"/>
          <w:sz w:val="24"/>
          <w:szCs w:val="24"/>
          <w:lang w:val="en-US" w:eastAsia="zh-CN" w:bidi="ar-SA"/>
        </w:rPr>
      </w:pPr>
      <m:oMath>
        <m:sSub>
          <m:sSubPr>
            <m:ctrlPr>
              <w:rPr>
                <w:rFonts w:ascii="DejaVu Math TeX Gyre" w:hAnsi="DejaVu Math TeX Gyre" w:cs="Times New Roman"/>
                <w:i/>
                <w:sz w:val="28"/>
                <w:szCs w:val="28"/>
                <w:lang w:val="en-US"/>
              </w:rPr>
            </m:ctrlPr>
          </m:sSubPr>
          <m:e>
            <m:r>
              <m:rPr/>
              <w:rPr>
                <w:rFonts w:hint="eastAsia" w:ascii="DejaVu Math TeX Gyre" w:hAnsi="DejaVu Math TeX Gyre" w:cs="Times New Roman"/>
                <w:sz w:val="28"/>
                <w:szCs w:val="28"/>
                <w:lang w:val="en-US" w:eastAsia="zh-CN"/>
              </w:rPr>
              <m:t>碳足迹贡献</m:t>
            </m:r>
            <m:ctrlPr>
              <w:rPr>
                <w:rFonts w:ascii="DejaVu Math TeX Gyre" w:hAnsi="DejaVu Math TeX Gyre" w:cs="Times New Roman"/>
                <w:i/>
                <w:sz w:val="28"/>
                <w:szCs w:val="28"/>
                <w:lang w:val="en-US"/>
              </w:rPr>
            </m:ctrlPr>
          </m:e>
          <m:sub>
            <m:r>
              <m:rPr/>
              <w:rPr>
                <w:rFonts w:hint="default" w:ascii="DejaVu Math TeX Gyre" w:hAnsi="DejaVu Math TeX Gyre" w:cs="Times New Roman"/>
                <w:sz w:val="28"/>
                <w:szCs w:val="28"/>
                <w:lang w:val="en-US"/>
              </w:rPr>
              <m:t>i</m:t>
            </m:r>
            <m:ctrlPr>
              <w:rPr>
                <w:rFonts w:ascii="DejaVu Math TeX Gyre" w:hAnsi="DejaVu Math TeX Gyre" w:cs="Times New Roman"/>
                <w:i/>
                <w:sz w:val="28"/>
                <w:szCs w:val="28"/>
                <w:lang w:val="en-US"/>
              </w:rPr>
            </m:ctrlPr>
          </m:sub>
        </m:sSub>
        <m:r>
          <m:rPr/>
          <w:rPr>
            <w:rFonts w:hint="default" w:ascii="DejaVu Math TeX Gyre" w:hAnsi="DejaVu Math TeX Gyre" w:cs="Times New Roman"/>
            <w:sz w:val="28"/>
            <w:szCs w:val="28"/>
            <w:lang w:val="en-US"/>
          </w:rPr>
          <m:t>=</m:t>
        </m:r>
        <m:f>
          <m:fPr>
            <m:ctrlPr>
              <w:rPr>
                <w:rFonts w:hint="default" w:ascii="DejaVu Math TeX Gyre" w:hAnsi="DejaVu Math TeX Gyre" w:cs="Times New Roman"/>
                <w:i/>
                <w:sz w:val="28"/>
                <w:szCs w:val="28"/>
                <w:lang w:val="en-US"/>
              </w:rPr>
            </m:ctrlPr>
          </m:fPr>
          <m:num>
            <m:d>
              <m:dPr>
                <m:begChr m:val="|"/>
                <m:endChr m:val="|"/>
                <m:ctrlPr>
                  <w:rPr>
                    <w:rFonts w:hint="default" w:ascii="DejaVu Math TeX Gyre" w:hAnsi="DejaVu Math TeX Gyre" w:cs="Times New Roman"/>
                    <w:i/>
                    <w:sz w:val="28"/>
                    <w:szCs w:val="28"/>
                    <w:lang w:val="en-US"/>
                  </w:rPr>
                </m:ctrlPr>
              </m:dPr>
              <m:e>
                <m:sSub>
                  <m:sSubPr>
                    <m:ctrlPr>
                      <w:rPr>
                        <w:rFonts w:hint="default" w:ascii="DejaVu Math TeX Gyre" w:hAnsi="DejaVu Math TeX Gyre" w:cs="Times New Roman"/>
                        <w:i/>
                        <w:sz w:val="28"/>
                        <w:szCs w:val="28"/>
                        <w:lang w:val="en-US"/>
                      </w:rPr>
                    </m:ctrlPr>
                  </m:sSubPr>
                  <m:e>
                    <m:r>
                      <m:rPr/>
                      <w:rPr>
                        <w:rFonts w:hint="default" w:ascii="DejaVu Math TeX Gyre" w:hAnsi="DejaVu Math TeX Gyre" w:cs="Times New Roman"/>
                        <w:sz w:val="28"/>
                        <w:szCs w:val="28"/>
                        <w:lang w:val="en-US"/>
                      </w:rPr>
                      <m:t>CFP</m:t>
                    </m:r>
                    <m:ctrlPr>
                      <w:rPr>
                        <w:rFonts w:hint="default" w:ascii="DejaVu Math TeX Gyre" w:hAnsi="DejaVu Math TeX Gyre" w:cs="Times New Roman"/>
                        <w:i/>
                        <w:sz w:val="28"/>
                        <w:szCs w:val="28"/>
                        <w:lang w:val="en-US"/>
                      </w:rPr>
                    </m:ctrlPr>
                  </m:e>
                  <m:sub>
                    <m:r>
                      <m:rPr/>
                      <w:rPr>
                        <w:rFonts w:hint="default" w:ascii="DejaVu Math TeX Gyre" w:hAnsi="DejaVu Math TeX Gyre" w:cs="Times New Roman"/>
                        <w:sz w:val="28"/>
                        <w:szCs w:val="28"/>
                        <w:lang w:val="en-US"/>
                      </w:rPr>
                      <m:t>i</m:t>
                    </m:r>
                    <m:ctrlPr>
                      <w:rPr>
                        <w:rFonts w:hint="default" w:ascii="DejaVu Math TeX Gyre" w:hAnsi="DejaVu Math TeX Gyre" w:cs="Times New Roman"/>
                        <w:i/>
                        <w:sz w:val="28"/>
                        <w:szCs w:val="28"/>
                        <w:lang w:val="en-US"/>
                      </w:rPr>
                    </m:ctrlPr>
                  </m:sub>
                </m:sSub>
                <m:ctrlPr>
                  <w:rPr>
                    <w:rFonts w:hint="default" w:ascii="DejaVu Math TeX Gyre" w:hAnsi="DejaVu Math TeX Gyre" w:cs="Times New Roman"/>
                    <w:i/>
                    <w:sz w:val="28"/>
                    <w:szCs w:val="28"/>
                    <w:lang w:val="en-US"/>
                  </w:rPr>
                </m:ctrlPr>
              </m:e>
            </m:d>
            <m:ctrlPr>
              <w:rPr>
                <w:rFonts w:hint="default" w:ascii="DejaVu Math TeX Gyre" w:hAnsi="DejaVu Math TeX Gyre" w:cs="Times New Roman"/>
                <w:i/>
                <w:sz w:val="28"/>
                <w:szCs w:val="28"/>
                <w:lang w:val="en-US"/>
              </w:rPr>
            </m:ctrlPr>
          </m:num>
          <m:den>
            <m:nary>
              <m:naryPr>
                <m:chr m:val="∑"/>
                <m:limLoc m:val="undOvr"/>
                <m:subHide m:val="1"/>
                <m:supHide m:val="1"/>
                <m:ctrlPr>
                  <w:rPr>
                    <w:rFonts w:hint="default" w:ascii="DejaVu Math TeX Gyre" w:hAnsi="DejaVu Math TeX Gyre" w:cs="Times New Roman"/>
                    <w:i/>
                    <w:sz w:val="28"/>
                    <w:szCs w:val="28"/>
                    <w:lang w:val="en-US"/>
                  </w:rPr>
                </m:ctrlPr>
              </m:naryPr>
              <m:sub>
                <m:ctrlPr>
                  <w:rPr>
                    <w:rFonts w:hint="default" w:ascii="DejaVu Math TeX Gyre" w:hAnsi="DejaVu Math TeX Gyre" w:cs="Times New Roman"/>
                    <w:i/>
                    <w:sz w:val="28"/>
                    <w:szCs w:val="28"/>
                    <w:lang w:val="en-US"/>
                  </w:rPr>
                </m:ctrlPr>
              </m:sub>
              <m:sup>
                <m:ctrlPr>
                  <w:rPr>
                    <w:rFonts w:hint="default" w:ascii="DejaVu Math TeX Gyre" w:hAnsi="DejaVu Math TeX Gyre" w:cs="Times New Roman"/>
                    <w:i/>
                    <w:sz w:val="28"/>
                    <w:szCs w:val="28"/>
                    <w:lang w:val="en-US"/>
                  </w:rPr>
                </m:ctrlPr>
              </m:sup>
              <m:e>
                <m:d>
                  <m:dPr>
                    <m:begChr m:val="|"/>
                    <m:endChr m:val="|"/>
                    <m:ctrlPr>
                      <w:rPr>
                        <w:rFonts w:hint="default" w:ascii="DejaVu Math TeX Gyre" w:hAnsi="DejaVu Math TeX Gyre" w:cs="Times New Roman"/>
                        <w:i/>
                        <w:sz w:val="28"/>
                        <w:szCs w:val="28"/>
                        <w:lang w:val="en-US"/>
                      </w:rPr>
                    </m:ctrlPr>
                  </m:dPr>
                  <m:e>
                    <m:sSub>
                      <m:sSubPr>
                        <m:ctrlPr>
                          <w:rPr>
                            <w:rFonts w:hint="default" w:ascii="DejaVu Math TeX Gyre" w:hAnsi="DejaVu Math TeX Gyre" w:cs="Times New Roman"/>
                            <w:i/>
                            <w:sz w:val="28"/>
                            <w:szCs w:val="28"/>
                            <w:lang w:val="en-US"/>
                          </w:rPr>
                        </m:ctrlPr>
                      </m:sSubPr>
                      <m:e>
                        <m:r>
                          <m:rPr/>
                          <w:rPr>
                            <w:rFonts w:hint="default" w:ascii="DejaVu Math TeX Gyre" w:hAnsi="DejaVu Math TeX Gyre" w:cs="Times New Roman"/>
                            <w:sz w:val="28"/>
                            <w:szCs w:val="28"/>
                            <w:lang w:val="en-US"/>
                          </w:rPr>
                          <m:t>CFP</m:t>
                        </m:r>
                        <m:ctrlPr>
                          <w:rPr>
                            <w:rFonts w:hint="default" w:ascii="DejaVu Math TeX Gyre" w:hAnsi="DejaVu Math TeX Gyre" w:cs="Times New Roman"/>
                            <w:i/>
                            <w:sz w:val="28"/>
                            <w:szCs w:val="28"/>
                            <w:lang w:val="en-US"/>
                          </w:rPr>
                        </m:ctrlPr>
                      </m:e>
                      <m:sub>
                        <m:r>
                          <m:rPr/>
                          <w:rPr>
                            <w:rFonts w:hint="default" w:ascii="DejaVu Math TeX Gyre" w:hAnsi="DejaVu Math TeX Gyre" w:cs="Times New Roman"/>
                            <w:sz w:val="28"/>
                            <w:szCs w:val="28"/>
                            <w:lang w:val="en-US"/>
                          </w:rPr>
                          <m:t>i</m:t>
                        </m:r>
                        <m:ctrlPr>
                          <w:rPr>
                            <w:rFonts w:hint="default" w:ascii="DejaVu Math TeX Gyre" w:hAnsi="DejaVu Math TeX Gyre" w:cs="Times New Roman"/>
                            <w:i/>
                            <w:sz w:val="28"/>
                            <w:szCs w:val="28"/>
                            <w:lang w:val="en-US"/>
                          </w:rPr>
                        </m:ctrlPr>
                      </m:sub>
                    </m:sSub>
                    <m:ctrlPr>
                      <w:rPr>
                        <w:rFonts w:hint="default" w:ascii="DejaVu Math TeX Gyre" w:hAnsi="DejaVu Math TeX Gyre" w:cs="Times New Roman"/>
                        <w:i/>
                        <w:sz w:val="28"/>
                        <w:szCs w:val="28"/>
                        <w:lang w:val="en-US"/>
                      </w:rPr>
                    </m:ctrlPr>
                  </m:e>
                </m:d>
                <m:ctrlPr>
                  <w:rPr>
                    <w:rFonts w:hint="default" w:ascii="DejaVu Math TeX Gyre" w:hAnsi="DejaVu Math TeX Gyre" w:cs="Times New Roman"/>
                    <w:i/>
                    <w:sz w:val="28"/>
                    <w:szCs w:val="28"/>
                    <w:lang w:val="en-US"/>
                  </w:rPr>
                </m:ctrlPr>
              </m:e>
            </m:nary>
            <m:ctrlPr>
              <w:rPr>
                <w:rFonts w:hint="default" w:ascii="DejaVu Math TeX Gyre" w:hAnsi="DejaVu Math TeX Gyre" w:cs="Times New Roman"/>
                <w:i/>
                <w:sz w:val="28"/>
                <w:szCs w:val="28"/>
                <w:lang w:val="en-US"/>
              </w:rPr>
            </m:ctrlPr>
          </m:den>
        </m:f>
      </m:oMath>
      <w:r>
        <w:rPr>
          <w:rFonts w:hint="default" w:ascii="Times New Roman" w:hAnsi="Times New Roman" w:eastAsia="仿宋" w:cs="Times New Roman"/>
          <w:color w:val="auto"/>
          <w:kern w:val="2"/>
          <w:sz w:val="28"/>
          <w:szCs w:val="28"/>
          <w:lang w:val="en-US" w:eastAsia="zh-CN" w:bidi="ar-SA"/>
        </w:rPr>
        <w:t xml:space="preserve">   </w:t>
      </w:r>
      <w:r>
        <w:rPr>
          <w:rFonts w:hint="default" w:ascii="Times New Roman" w:hAnsi="Times New Roman" w:eastAsia="仿宋" w:cs="Times New Roman"/>
          <w:color w:val="auto"/>
          <w:kern w:val="2"/>
          <w:sz w:val="24"/>
          <w:szCs w:val="24"/>
          <w:lang w:val="en-US" w:eastAsia="zh-CN" w:bidi="ar-SA"/>
        </w:rPr>
        <w:t xml:space="preserve">          </w:t>
      </w:r>
      <w:r>
        <w:rPr>
          <w:rFonts w:hint="eastAsia" w:ascii="Times New Roman" w:hAnsi="Times New Roman" w:eastAsia="仿宋" w:cs="Times New Roman"/>
          <w:color w:val="auto"/>
          <w:kern w:val="2"/>
          <w:sz w:val="24"/>
          <w:szCs w:val="24"/>
          <w:lang w:val="en-US" w:eastAsia="zh-CN" w:bidi="ar-SA"/>
        </w:rPr>
        <w:t>（2）</w:t>
      </w:r>
    </w:p>
    <w:p w14:paraId="723D4607">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数据质量分为4级，级数越小表示其数据品质越佳。</w:t>
      </w:r>
    </w:p>
    <w:p w14:paraId="29B45FF8">
      <w:pPr>
        <w:pStyle w:val="12"/>
        <w:spacing w:line="360" w:lineRule="auto"/>
        <w:jc w:val="center"/>
        <w:rPr>
          <w:rFonts w:hint="default"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表4-4.6整体数据质量水平</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1663"/>
        <w:gridCol w:w="5044"/>
      </w:tblGrid>
      <w:tr w14:paraId="6E09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5" w:type="dxa"/>
            <w:vAlign w:val="center"/>
          </w:tcPr>
          <w:p w14:paraId="6AFBFC06">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DQR</w:t>
            </w:r>
            <w:r>
              <w:rPr>
                <w:rFonts w:hint="eastAsia" w:ascii="Times New Roman Regular" w:hAnsi="Times New Roman Regular" w:eastAsia="宋体" w:cs="Times New Roman Regular"/>
                <w:sz w:val="21"/>
                <w:szCs w:val="21"/>
                <w:vertAlign w:val="baseline"/>
                <w:lang w:val="en-US" w:eastAsia="zh-CN"/>
              </w:rPr>
              <w:t>范围</w:t>
            </w:r>
          </w:p>
        </w:tc>
        <w:tc>
          <w:tcPr>
            <w:tcW w:w="1663" w:type="dxa"/>
            <w:vAlign w:val="center"/>
          </w:tcPr>
          <w:p w14:paraId="2C9BA58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质量等级</w:t>
            </w:r>
          </w:p>
        </w:tc>
        <w:tc>
          <w:tcPr>
            <w:tcW w:w="5044" w:type="dxa"/>
            <w:vAlign w:val="center"/>
          </w:tcPr>
          <w:p w14:paraId="40F4B5D7">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说明</w:t>
            </w:r>
          </w:p>
        </w:tc>
      </w:tr>
      <w:tr w14:paraId="298B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5" w:type="dxa"/>
            <w:vAlign w:val="center"/>
          </w:tcPr>
          <w:p w14:paraId="3AAD9E5F">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DQR≤</w:t>
            </w:r>
            <w:r>
              <w:rPr>
                <w:rFonts w:hint="eastAsia" w:ascii="Times New Roman Regular" w:hAnsi="Times New Roman Regular" w:eastAsia="宋体" w:cs="Times New Roman Regular"/>
                <w:sz w:val="21"/>
                <w:szCs w:val="21"/>
                <w:vertAlign w:val="baseline"/>
                <w:lang w:val="en-US" w:eastAsia="zh-CN"/>
              </w:rPr>
              <w:t>1.5</w:t>
            </w:r>
          </w:p>
        </w:tc>
        <w:tc>
          <w:tcPr>
            <w:tcW w:w="1663" w:type="dxa"/>
            <w:vAlign w:val="center"/>
          </w:tcPr>
          <w:p w14:paraId="0987B73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优秀</w:t>
            </w:r>
          </w:p>
        </w:tc>
        <w:tc>
          <w:tcPr>
            <w:tcW w:w="5044" w:type="dxa"/>
            <w:vAlign w:val="center"/>
          </w:tcPr>
          <w:p w14:paraId="17528DC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可直接使用，无需改进</w:t>
            </w:r>
          </w:p>
        </w:tc>
      </w:tr>
      <w:tr w14:paraId="2303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5" w:type="dxa"/>
            <w:vAlign w:val="center"/>
          </w:tcPr>
          <w:p w14:paraId="43E093E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1.5</w:t>
            </w:r>
            <w:r>
              <w:rPr>
                <w:rFonts w:hint="default" w:ascii="Times New Roman Regular" w:hAnsi="Times New Roman Regular" w:eastAsia="宋体" w:cs="Times New Roman Regular"/>
                <w:sz w:val="21"/>
                <w:szCs w:val="21"/>
                <w:vertAlign w:val="baseline"/>
                <w:lang w:val="en-US" w:eastAsia="zh-CN"/>
              </w:rPr>
              <w:t>&lt;DQR≤2</w:t>
            </w:r>
            <w:r>
              <w:rPr>
                <w:rFonts w:hint="eastAsia" w:ascii="Times New Roman Regular" w:hAnsi="Times New Roman Regular" w:eastAsia="宋体" w:cs="Times New Roman Regular"/>
                <w:sz w:val="21"/>
                <w:szCs w:val="21"/>
                <w:vertAlign w:val="baseline"/>
                <w:lang w:val="en-US" w:eastAsia="zh-CN"/>
              </w:rPr>
              <w:t>.5</w:t>
            </w:r>
          </w:p>
        </w:tc>
        <w:tc>
          <w:tcPr>
            <w:tcW w:w="1663" w:type="dxa"/>
            <w:vAlign w:val="center"/>
          </w:tcPr>
          <w:p w14:paraId="2316DCB6">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良好</w:t>
            </w:r>
          </w:p>
        </w:tc>
        <w:tc>
          <w:tcPr>
            <w:tcW w:w="5044" w:type="dxa"/>
            <w:vAlign w:val="center"/>
          </w:tcPr>
          <w:p w14:paraId="1F4150A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需优化次要数据（如补充缺失环节）</w:t>
            </w:r>
          </w:p>
        </w:tc>
      </w:tr>
      <w:tr w14:paraId="6711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5" w:type="dxa"/>
            <w:vAlign w:val="center"/>
          </w:tcPr>
          <w:p w14:paraId="61EDE12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2.5&lt;DQR≤3</w:t>
            </w:r>
            <w:r>
              <w:rPr>
                <w:rFonts w:hint="eastAsia" w:ascii="Times New Roman Regular" w:hAnsi="Times New Roman Regular" w:eastAsia="宋体" w:cs="Times New Roman Regular"/>
                <w:sz w:val="21"/>
                <w:szCs w:val="21"/>
                <w:vertAlign w:val="baseline"/>
                <w:lang w:val="en-US" w:eastAsia="zh-CN"/>
              </w:rPr>
              <w:t>.5</w:t>
            </w:r>
          </w:p>
        </w:tc>
        <w:tc>
          <w:tcPr>
            <w:tcW w:w="1663" w:type="dxa"/>
            <w:vAlign w:val="center"/>
          </w:tcPr>
          <w:p w14:paraId="0E40A84F">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一般</w:t>
            </w:r>
          </w:p>
        </w:tc>
        <w:tc>
          <w:tcPr>
            <w:tcW w:w="5044" w:type="dxa"/>
            <w:vAlign w:val="center"/>
          </w:tcPr>
          <w:p w14:paraId="1DE8D48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需改进关键数据（如替换低可靠性数据）</w:t>
            </w:r>
          </w:p>
        </w:tc>
      </w:tr>
      <w:tr w14:paraId="6D04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5" w:type="dxa"/>
            <w:vAlign w:val="center"/>
          </w:tcPr>
          <w:p w14:paraId="2C92904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DQR&gt;3</w:t>
            </w:r>
            <w:r>
              <w:rPr>
                <w:rFonts w:hint="eastAsia" w:ascii="Times New Roman Regular" w:hAnsi="Times New Roman Regular" w:eastAsia="宋体" w:cs="Times New Roman Regular"/>
                <w:sz w:val="21"/>
                <w:szCs w:val="21"/>
                <w:vertAlign w:val="baseline"/>
                <w:lang w:val="en-US" w:eastAsia="zh-CN"/>
              </w:rPr>
              <w:t>.5</w:t>
            </w:r>
          </w:p>
        </w:tc>
        <w:tc>
          <w:tcPr>
            <w:tcW w:w="1663" w:type="dxa"/>
            <w:vAlign w:val="center"/>
          </w:tcPr>
          <w:p w14:paraId="74000BF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差</w:t>
            </w:r>
          </w:p>
        </w:tc>
        <w:tc>
          <w:tcPr>
            <w:tcW w:w="5044" w:type="dxa"/>
            <w:vAlign w:val="center"/>
          </w:tcPr>
          <w:p w14:paraId="4307710D">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数据不可靠，需重新收集或验证</w:t>
            </w:r>
          </w:p>
        </w:tc>
      </w:tr>
    </w:tbl>
    <w:p w14:paraId="1AC37047">
      <w:pPr>
        <w:spacing w:line="360" w:lineRule="auto"/>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本次研究显示，排放源数据不确定性评估结果为</w:t>
      </w:r>
      <w:r>
        <w:rPr>
          <w:rFonts w:hint="default" w:ascii="Times New Roman" w:hAnsi="Times New Roman" w:eastAsia="仿宋" w:cs="Times New Roman"/>
          <w:sz w:val="28"/>
          <w:szCs w:val="28"/>
          <w:highlight w:val="none"/>
          <w:lang w:val="en-US" w:eastAsia="zh-CN"/>
        </w:rPr>
        <w:t>1.64</w:t>
      </w:r>
      <w:r>
        <w:rPr>
          <w:rFonts w:hint="eastAsia" w:ascii="Times New Roman" w:hAnsi="Times New Roman" w:eastAsia="仿宋" w:cs="Times New Roman"/>
          <w:sz w:val="28"/>
          <w:szCs w:val="28"/>
          <w:lang w:val="en-US" w:eastAsia="zh-CN"/>
        </w:rPr>
        <w:t>分，属于良好数据品质，具体计算如下表4-4.7：</w:t>
      </w:r>
    </w:p>
    <w:p w14:paraId="5DC1CFC8">
      <w:pPr>
        <w:pStyle w:val="16"/>
        <w:rPr>
          <w:rFonts w:hint="eastAsia" w:ascii="Times New Roman" w:hAnsi="Times New Roman" w:eastAsia="仿宋"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5CE406F6">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表4-4.7整体数据质量水平</w:t>
      </w:r>
    </w:p>
    <w:tbl>
      <w:tblPr>
        <w:tblStyle w:val="3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3"/>
        <w:gridCol w:w="1107"/>
        <w:gridCol w:w="864"/>
        <w:gridCol w:w="808"/>
        <w:gridCol w:w="805"/>
        <w:gridCol w:w="808"/>
        <w:gridCol w:w="791"/>
        <w:gridCol w:w="822"/>
        <w:gridCol w:w="819"/>
        <w:gridCol w:w="813"/>
        <w:gridCol w:w="808"/>
        <w:gridCol w:w="808"/>
        <w:gridCol w:w="791"/>
        <w:gridCol w:w="819"/>
        <w:gridCol w:w="819"/>
        <w:gridCol w:w="1068"/>
      </w:tblGrid>
      <w:tr w14:paraId="4E872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9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177EAF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清单名称</w:t>
            </w:r>
          </w:p>
        </w:tc>
        <w:tc>
          <w:tcPr>
            <w:tcW w:w="391" w:type="pct"/>
            <w:tcBorders>
              <w:top w:val="single" w:color="000000" w:sz="8" w:space="0"/>
              <w:left w:val="single" w:color="000000" w:sz="8" w:space="0"/>
              <w:bottom w:val="nil"/>
              <w:right w:val="single" w:color="000000" w:sz="8" w:space="0"/>
            </w:tcBorders>
            <w:shd w:val="clear" w:color="auto" w:fill="auto"/>
            <w:vAlign w:val="center"/>
          </w:tcPr>
          <w:p w14:paraId="65BBE50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碳足迹</w:t>
            </w:r>
          </w:p>
        </w:tc>
        <w:tc>
          <w:tcPr>
            <w:tcW w:w="30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DDE0B1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贡献</w:t>
            </w:r>
          </w:p>
        </w:tc>
        <w:tc>
          <w:tcPr>
            <w:tcW w:w="1423"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515FF64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活动数据</w:t>
            </w:r>
          </w:p>
        </w:tc>
        <w:tc>
          <w:tcPr>
            <w:tcW w:w="28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646717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活动数据</w:t>
            </w:r>
            <w:r>
              <w:rPr>
                <w:rStyle w:val="55"/>
                <w:rFonts w:hint="default" w:ascii="Times New Roman Regular" w:hAnsi="Times New Roman Regular" w:eastAsia="宋体" w:cs="Times New Roman Regular"/>
                <w:sz w:val="21"/>
                <w:szCs w:val="21"/>
                <w:lang w:val="en-US" w:eastAsia="zh-CN" w:bidi="ar"/>
              </w:rPr>
              <w:t>DQR</w:t>
            </w:r>
          </w:p>
        </w:tc>
        <w:tc>
          <w:tcPr>
            <w:tcW w:w="1425"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3B55E89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排放因子</w:t>
            </w:r>
          </w:p>
        </w:tc>
        <w:tc>
          <w:tcPr>
            <w:tcW w:w="28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E4D56C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排放因子</w:t>
            </w:r>
            <w:r>
              <w:rPr>
                <w:rStyle w:val="55"/>
                <w:rFonts w:hint="default" w:ascii="Times New Roman Regular" w:hAnsi="Times New Roman Regular" w:eastAsia="宋体" w:cs="Times New Roman Regular"/>
                <w:sz w:val="21"/>
                <w:szCs w:val="21"/>
                <w:lang w:val="en-US" w:eastAsia="zh-CN" w:bidi="ar"/>
              </w:rPr>
              <w:t>DQR</w:t>
            </w:r>
          </w:p>
        </w:tc>
        <w:tc>
          <w:tcPr>
            <w:tcW w:w="37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49D3D1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整体</w:t>
            </w:r>
            <w:r>
              <w:rPr>
                <w:rStyle w:val="55"/>
                <w:rFonts w:hint="default" w:ascii="Times New Roman Regular" w:hAnsi="Times New Roman Regular" w:eastAsia="宋体" w:cs="Times New Roman Regular"/>
                <w:sz w:val="21"/>
                <w:szCs w:val="21"/>
                <w:lang w:val="en-US" w:eastAsia="zh-CN" w:bidi="ar"/>
              </w:rPr>
              <w:t>DQR</w:t>
            </w:r>
          </w:p>
        </w:tc>
      </w:tr>
      <w:tr w14:paraId="07AA0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3318CA4">
            <w:pPr>
              <w:keepNext w:val="0"/>
              <w:keepLines w:val="0"/>
              <w:pageBreakBefore w:val="0"/>
              <w:widowControl/>
              <w:kinsoku/>
              <w:wordWrap/>
              <w:overflowPunct/>
              <w:topLinePunct w:val="0"/>
              <w:autoSpaceDE/>
              <w:autoSpaceDN/>
              <w:bidi w:val="0"/>
              <w:adjustRightInd/>
              <w:snapToGrid/>
              <w:jc w:val="center"/>
              <w:rPr>
                <w:rFonts w:hint="default" w:ascii="Times New Roman Regular" w:hAnsi="Times New Roman Regular" w:eastAsia="宋体" w:cs="Times New Roman Regular"/>
                <w:i w:val="0"/>
                <w:iCs w:val="0"/>
                <w:color w:val="000000"/>
                <w:sz w:val="21"/>
                <w:szCs w:val="21"/>
                <w:u w:val="none"/>
              </w:rPr>
            </w:pPr>
          </w:p>
        </w:tc>
        <w:tc>
          <w:tcPr>
            <w:tcW w:w="391" w:type="pct"/>
            <w:tcBorders>
              <w:top w:val="nil"/>
              <w:left w:val="single" w:color="000000" w:sz="8" w:space="0"/>
              <w:bottom w:val="single" w:color="000000" w:sz="8" w:space="0"/>
              <w:right w:val="single" w:color="000000" w:sz="8" w:space="0"/>
            </w:tcBorders>
            <w:shd w:val="clear" w:color="auto" w:fill="auto"/>
            <w:vAlign w:val="center"/>
          </w:tcPr>
          <w:p w14:paraId="5C0479F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kg</w:t>
            </w:r>
            <w:r>
              <w:rPr>
                <w:rStyle w:val="55"/>
                <w:rFonts w:hint="default" w:ascii="Times New Roman Regular" w:hAnsi="Times New Roman Regular" w:eastAsia="宋体" w:cs="Times New Roman Regular"/>
                <w:sz w:val="21"/>
                <w:szCs w:val="21"/>
                <w:lang w:val="en-US" w:eastAsia="zh-CN" w:bidi="ar"/>
              </w:rPr>
              <w:t>CO</w:t>
            </w:r>
            <w:r>
              <w:rPr>
                <w:rStyle w:val="56"/>
                <w:rFonts w:hint="default" w:ascii="Times New Roman Regular" w:hAnsi="Times New Roman Regular" w:eastAsia="宋体" w:cs="Times New Roman Regular"/>
                <w:sz w:val="21"/>
                <w:szCs w:val="21"/>
                <w:lang w:val="en-US" w:eastAsia="zh-CN" w:bidi="ar"/>
              </w:rPr>
              <w:t>2</w:t>
            </w:r>
            <w:r>
              <w:rPr>
                <w:rStyle w:val="55"/>
                <w:rFonts w:hint="default" w:ascii="Times New Roman Regular" w:hAnsi="Times New Roman Regular" w:eastAsia="宋体" w:cs="Times New Roman Regular"/>
                <w:sz w:val="21"/>
                <w:szCs w:val="21"/>
                <w:lang w:val="en-US" w:eastAsia="zh-CN" w:bidi="ar"/>
              </w:rPr>
              <w:t>e/</w:t>
            </w:r>
            <w:r>
              <w:rPr>
                <w:rStyle w:val="57"/>
                <w:rFonts w:hint="default" w:ascii="Times New Roman Regular" w:hAnsi="Times New Roman Regular" w:eastAsia="宋体" w:cs="Times New Roman Regular"/>
                <w:sz w:val="21"/>
                <w:szCs w:val="21"/>
                <w:lang w:val="en-US" w:eastAsia="zh-CN" w:bidi="ar"/>
              </w:rPr>
              <w:t>声明单位</w:t>
            </w:r>
          </w:p>
        </w:tc>
        <w:tc>
          <w:tcPr>
            <w:tcW w:w="30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4837029">
            <w:pPr>
              <w:keepNext w:val="0"/>
              <w:keepLines w:val="0"/>
              <w:pageBreakBefore w:val="0"/>
              <w:widowControl/>
              <w:kinsoku/>
              <w:wordWrap/>
              <w:overflowPunct/>
              <w:topLinePunct w:val="0"/>
              <w:autoSpaceDE/>
              <w:autoSpaceDN/>
              <w:bidi w:val="0"/>
              <w:adjustRightInd/>
              <w:snapToGrid/>
              <w:jc w:val="center"/>
              <w:rPr>
                <w:rFonts w:hint="default" w:ascii="Times New Roman Regular" w:hAnsi="Times New Roman Regular" w:eastAsia="宋体" w:cs="Times New Roman Regular"/>
                <w:i w:val="0"/>
                <w:iCs w:val="0"/>
                <w:color w:val="000000"/>
                <w:sz w:val="21"/>
                <w:szCs w:val="21"/>
                <w:u w:val="none"/>
              </w:rPr>
            </w:pP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514337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T</w:t>
            </w:r>
            <w:r>
              <w:rPr>
                <w:rStyle w:val="55"/>
                <w:rFonts w:hint="default" w:ascii="Times New Roman Regular" w:hAnsi="Times New Roman Regular" w:eastAsia="宋体" w:cs="Times New Roman Regular"/>
                <w:sz w:val="21"/>
                <w:szCs w:val="21"/>
                <w:lang w:val="en-US" w:eastAsia="zh-CN" w:bidi="ar"/>
              </w:rPr>
              <w:t>eR</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6F7B7AD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GR</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687B26F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TiR</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2734E33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C</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4A40B7E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R</w:t>
            </w:r>
          </w:p>
        </w:tc>
        <w:tc>
          <w:tcPr>
            <w:tcW w:w="28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3323569">
            <w:pPr>
              <w:keepNext w:val="0"/>
              <w:keepLines w:val="0"/>
              <w:pageBreakBefore w:val="0"/>
              <w:widowControl/>
              <w:kinsoku/>
              <w:wordWrap/>
              <w:overflowPunct/>
              <w:topLinePunct w:val="0"/>
              <w:autoSpaceDE/>
              <w:autoSpaceDN/>
              <w:bidi w:val="0"/>
              <w:adjustRightInd/>
              <w:snapToGrid/>
              <w:jc w:val="center"/>
              <w:rPr>
                <w:rFonts w:hint="default" w:ascii="Times New Roman Regular" w:hAnsi="Times New Roman Regular" w:eastAsia="宋体" w:cs="Times New Roman Regular"/>
                <w:i w:val="0"/>
                <w:iCs w:val="0"/>
                <w:color w:val="000000"/>
                <w:sz w:val="21"/>
                <w:szCs w:val="21"/>
                <w:u w:val="none"/>
              </w:rPr>
            </w:pPr>
          </w:p>
        </w:tc>
        <w:tc>
          <w:tcPr>
            <w:tcW w:w="28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B18C0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T</w:t>
            </w:r>
            <w:r>
              <w:rPr>
                <w:rStyle w:val="55"/>
                <w:rFonts w:hint="default" w:ascii="Times New Roman Regular" w:hAnsi="Times New Roman Regular" w:eastAsia="宋体" w:cs="Times New Roman Regular"/>
                <w:sz w:val="21"/>
                <w:szCs w:val="21"/>
                <w:lang w:val="en-US" w:eastAsia="zh-CN" w:bidi="ar"/>
              </w:rPr>
              <w:t>eR</w:t>
            </w:r>
          </w:p>
        </w:tc>
        <w:tc>
          <w:tcPr>
            <w:tcW w:w="28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B49C6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GR</w:t>
            </w:r>
          </w:p>
        </w:tc>
        <w:tc>
          <w:tcPr>
            <w:tcW w:w="28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60ED5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TiR</w:t>
            </w:r>
          </w:p>
        </w:tc>
        <w:tc>
          <w:tcPr>
            <w:tcW w:w="27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9D413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C</w:t>
            </w:r>
          </w:p>
        </w:tc>
        <w:tc>
          <w:tcPr>
            <w:tcW w:w="28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837FA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R</w:t>
            </w:r>
          </w:p>
        </w:tc>
        <w:tc>
          <w:tcPr>
            <w:tcW w:w="28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4501A29">
            <w:pPr>
              <w:keepNext w:val="0"/>
              <w:keepLines w:val="0"/>
              <w:pageBreakBefore w:val="0"/>
              <w:widowControl/>
              <w:kinsoku/>
              <w:wordWrap/>
              <w:overflowPunct/>
              <w:topLinePunct w:val="0"/>
              <w:autoSpaceDE/>
              <w:autoSpaceDN/>
              <w:bidi w:val="0"/>
              <w:adjustRightInd/>
              <w:snapToGrid/>
              <w:jc w:val="center"/>
              <w:rPr>
                <w:rFonts w:hint="default" w:ascii="Times New Roman Regular" w:hAnsi="Times New Roman Regular" w:eastAsia="宋体" w:cs="Times New Roman Regular"/>
                <w:i w:val="0"/>
                <w:iCs w:val="0"/>
                <w:color w:val="000000"/>
                <w:sz w:val="21"/>
                <w:szCs w:val="21"/>
                <w:u w:val="none"/>
              </w:rPr>
            </w:pPr>
          </w:p>
        </w:tc>
        <w:tc>
          <w:tcPr>
            <w:tcW w:w="37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071ABA">
            <w:pPr>
              <w:keepNext w:val="0"/>
              <w:keepLines w:val="0"/>
              <w:pageBreakBefore w:val="0"/>
              <w:widowControl/>
              <w:kinsoku/>
              <w:wordWrap/>
              <w:overflowPunct/>
              <w:topLinePunct w:val="0"/>
              <w:autoSpaceDE/>
              <w:autoSpaceDN/>
              <w:bidi w:val="0"/>
              <w:adjustRightInd/>
              <w:snapToGrid/>
              <w:jc w:val="center"/>
              <w:rPr>
                <w:rFonts w:hint="default" w:ascii="Times New Roman Regular" w:hAnsi="Times New Roman Regular" w:eastAsia="宋体" w:cs="Times New Roman Regular"/>
                <w:i w:val="0"/>
                <w:iCs w:val="0"/>
                <w:color w:val="000000"/>
                <w:sz w:val="21"/>
                <w:szCs w:val="21"/>
                <w:u w:val="none"/>
              </w:rPr>
            </w:pPr>
          </w:p>
        </w:tc>
      </w:tr>
      <w:tr w14:paraId="4818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1C609C6A">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树脂</w:t>
            </w:r>
          </w:p>
        </w:tc>
        <w:tc>
          <w:tcPr>
            <w:tcW w:w="391" w:type="pct"/>
            <w:tcBorders>
              <w:top w:val="nil"/>
              <w:left w:val="single" w:color="000000" w:sz="8" w:space="0"/>
              <w:bottom w:val="single" w:color="000000" w:sz="8" w:space="0"/>
              <w:right w:val="single" w:color="000000" w:sz="8" w:space="0"/>
            </w:tcBorders>
            <w:shd w:val="clear" w:color="auto" w:fill="auto"/>
            <w:vAlign w:val="bottom"/>
          </w:tcPr>
          <w:p w14:paraId="1456532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903.1222</w:t>
            </w:r>
          </w:p>
        </w:tc>
        <w:tc>
          <w:tcPr>
            <w:tcW w:w="305" w:type="pct"/>
            <w:tcBorders>
              <w:top w:val="nil"/>
              <w:left w:val="single" w:color="000000" w:sz="8" w:space="0"/>
              <w:bottom w:val="single" w:color="000000" w:sz="8" w:space="0"/>
              <w:right w:val="single" w:color="000000" w:sz="8" w:space="0"/>
            </w:tcBorders>
            <w:shd w:val="clear" w:color="auto" w:fill="auto"/>
            <w:vAlign w:val="bottom"/>
          </w:tcPr>
          <w:p w14:paraId="436C4B7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86.23%</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6C535A9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307B5D4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D72F24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1037315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240BBB5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67A52B9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2B84271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D89024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4</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7EAEEDB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6DD38BC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1DEA04D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bottom"/>
          </w:tcPr>
          <w:p w14:paraId="6096F70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1.6</w:t>
            </w:r>
          </w:p>
        </w:tc>
        <w:tc>
          <w:tcPr>
            <w:tcW w:w="377" w:type="pct"/>
            <w:tcBorders>
              <w:top w:val="nil"/>
              <w:left w:val="single" w:color="000000" w:sz="8" w:space="0"/>
              <w:bottom w:val="single" w:color="000000" w:sz="8" w:space="0"/>
              <w:right w:val="single" w:color="000000" w:sz="8" w:space="0"/>
            </w:tcBorders>
            <w:shd w:val="clear" w:color="auto" w:fill="auto"/>
            <w:vAlign w:val="bottom"/>
          </w:tcPr>
          <w:p w14:paraId="2C0DEE1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1.3798 </w:t>
            </w:r>
          </w:p>
        </w:tc>
      </w:tr>
      <w:tr w14:paraId="5ECB2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48BD4210">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石粉</w:t>
            </w:r>
          </w:p>
        </w:tc>
        <w:tc>
          <w:tcPr>
            <w:tcW w:w="391" w:type="pct"/>
            <w:tcBorders>
              <w:top w:val="nil"/>
              <w:left w:val="single" w:color="000000" w:sz="8" w:space="0"/>
              <w:bottom w:val="single" w:color="000000" w:sz="8" w:space="0"/>
              <w:right w:val="single" w:color="000000" w:sz="8" w:space="0"/>
            </w:tcBorders>
            <w:shd w:val="clear" w:color="auto" w:fill="auto"/>
            <w:vAlign w:val="bottom"/>
          </w:tcPr>
          <w:p w14:paraId="61A4480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52.2596</w:t>
            </w:r>
          </w:p>
        </w:tc>
        <w:tc>
          <w:tcPr>
            <w:tcW w:w="305" w:type="pct"/>
            <w:tcBorders>
              <w:top w:val="nil"/>
              <w:left w:val="single" w:color="000000" w:sz="8" w:space="0"/>
              <w:bottom w:val="single" w:color="000000" w:sz="8" w:space="0"/>
              <w:right w:val="single" w:color="000000" w:sz="8" w:space="0"/>
            </w:tcBorders>
            <w:shd w:val="clear" w:color="auto" w:fill="auto"/>
            <w:vAlign w:val="bottom"/>
          </w:tcPr>
          <w:p w14:paraId="27E9C49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4.99%</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6865BC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719E8D2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EBDE77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6F15930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2F6D573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650E25C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59C0E31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76CFB94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4</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390064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4894E32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7D07BC5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bottom"/>
          </w:tcPr>
          <w:p w14:paraId="693EC7C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377" w:type="pct"/>
            <w:tcBorders>
              <w:top w:val="nil"/>
              <w:left w:val="single" w:color="000000" w:sz="8" w:space="0"/>
              <w:bottom w:val="single" w:color="000000" w:sz="8" w:space="0"/>
              <w:right w:val="single" w:color="000000" w:sz="8" w:space="0"/>
            </w:tcBorders>
            <w:shd w:val="clear" w:color="auto" w:fill="auto"/>
            <w:vAlign w:val="bottom"/>
          </w:tcPr>
          <w:p w14:paraId="7BED12B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0.0948 </w:t>
            </w:r>
          </w:p>
        </w:tc>
      </w:tr>
      <w:tr w14:paraId="7FEF9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0B16BD0E">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包材</w:t>
            </w:r>
          </w:p>
        </w:tc>
        <w:tc>
          <w:tcPr>
            <w:tcW w:w="391" w:type="pct"/>
            <w:tcBorders>
              <w:top w:val="nil"/>
              <w:left w:val="single" w:color="000000" w:sz="8" w:space="0"/>
              <w:bottom w:val="single" w:color="000000" w:sz="8" w:space="0"/>
              <w:right w:val="single" w:color="000000" w:sz="8" w:space="0"/>
            </w:tcBorders>
            <w:shd w:val="clear" w:color="auto" w:fill="auto"/>
            <w:vAlign w:val="bottom"/>
          </w:tcPr>
          <w:p w14:paraId="7A9A28D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2.9345</w:t>
            </w:r>
          </w:p>
        </w:tc>
        <w:tc>
          <w:tcPr>
            <w:tcW w:w="305" w:type="pct"/>
            <w:tcBorders>
              <w:top w:val="nil"/>
              <w:left w:val="single" w:color="000000" w:sz="8" w:space="0"/>
              <w:bottom w:val="single" w:color="000000" w:sz="8" w:space="0"/>
              <w:right w:val="single" w:color="000000" w:sz="8" w:space="0"/>
            </w:tcBorders>
            <w:shd w:val="clear" w:color="auto" w:fill="auto"/>
            <w:vAlign w:val="bottom"/>
          </w:tcPr>
          <w:p w14:paraId="396F6DE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0.28%</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50C487A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43EC1D1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7AB4125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39AD747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162B4A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08A1A85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19B75C1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20FB704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4</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4125771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1B00073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7219FA8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bottom"/>
          </w:tcPr>
          <w:p w14:paraId="167FBE5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1.8</w:t>
            </w:r>
          </w:p>
        </w:tc>
        <w:tc>
          <w:tcPr>
            <w:tcW w:w="377" w:type="pct"/>
            <w:tcBorders>
              <w:top w:val="nil"/>
              <w:left w:val="single" w:color="000000" w:sz="8" w:space="0"/>
              <w:bottom w:val="single" w:color="000000" w:sz="8" w:space="0"/>
              <w:right w:val="single" w:color="000000" w:sz="8" w:space="0"/>
            </w:tcBorders>
            <w:shd w:val="clear" w:color="auto" w:fill="auto"/>
            <w:vAlign w:val="bottom"/>
          </w:tcPr>
          <w:p w14:paraId="718E71D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0.0050 </w:t>
            </w:r>
          </w:p>
        </w:tc>
      </w:tr>
      <w:tr w14:paraId="6D161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390ED762">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纸箱</w:t>
            </w:r>
          </w:p>
        </w:tc>
        <w:tc>
          <w:tcPr>
            <w:tcW w:w="391" w:type="pct"/>
            <w:tcBorders>
              <w:top w:val="nil"/>
              <w:left w:val="single" w:color="000000" w:sz="8" w:space="0"/>
              <w:bottom w:val="single" w:color="000000" w:sz="8" w:space="0"/>
              <w:right w:val="single" w:color="000000" w:sz="8" w:space="0"/>
            </w:tcBorders>
            <w:shd w:val="clear" w:color="auto" w:fill="auto"/>
            <w:vAlign w:val="bottom"/>
          </w:tcPr>
          <w:p w14:paraId="3346852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2.6882</w:t>
            </w:r>
          </w:p>
        </w:tc>
        <w:tc>
          <w:tcPr>
            <w:tcW w:w="305" w:type="pct"/>
            <w:tcBorders>
              <w:top w:val="nil"/>
              <w:left w:val="single" w:color="000000" w:sz="8" w:space="0"/>
              <w:bottom w:val="single" w:color="000000" w:sz="8" w:space="0"/>
              <w:right w:val="single" w:color="000000" w:sz="8" w:space="0"/>
            </w:tcBorders>
            <w:shd w:val="clear" w:color="auto" w:fill="auto"/>
            <w:vAlign w:val="bottom"/>
          </w:tcPr>
          <w:p w14:paraId="3E34771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0.26%</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3EA38D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2358ABF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5B6122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60BFB3E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7C30F81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AE26BB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37E1289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621FF7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2ABB1E8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1413814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329E2E9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bottom"/>
          </w:tcPr>
          <w:p w14:paraId="0D4334C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1.6</w:t>
            </w:r>
          </w:p>
        </w:tc>
        <w:tc>
          <w:tcPr>
            <w:tcW w:w="377" w:type="pct"/>
            <w:tcBorders>
              <w:top w:val="nil"/>
              <w:left w:val="single" w:color="000000" w:sz="8" w:space="0"/>
              <w:bottom w:val="single" w:color="000000" w:sz="8" w:space="0"/>
              <w:right w:val="single" w:color="000000" w:sz="8" w:space="0"/>
            </w:tcBorders>
            <w:shd w:val="clear" w:color="auto" w:fill="auto"/>
            <w:vAlign w:val="bottom"/>
          </w:tcPr>
          <w:p w14:paraId="3AE9FA2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0.0041 </w:t>
            </w:r>
          </w:p>
        </w:tc>
      </w:tr>
      <w:tr w14:paraId="76792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40BFA497">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原材料运输</w:t>
            </w:r>
          </w:p>
        </w:tc>
        <w:tc>
          <w:tcPr>
            <w:tcW w:w="391" w:type="pct"/>
            <w:tcBorders>
              <w:top w:val="nil"/>
              <w:left w:val="single" w:color="000000" w:sz="8" w:space="0"/>
              <w:bottom w:val="single" w:color="000000" w:sz="8" w:space="0"/>
              <w:right w:val="single" w:color="000000" w:sz="8" w:space="0"/>
            </w:tcBorders>
            <w:shd w:val="clear" w:color="auto" w:fill="auto"/>
            <w:vAlign w:val="bottom"/>
          </w:tcPr>
          <w:p w14:paraId="61B2573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0.9594</w:t>
            </w:r>
          </w:p>
        </w:tc>
        <w:tc>
          <w:tcPr>
            <w:tcW w:w="305" w:type="pct"/>
            <w:tcBorders>
              <w:top w:val="nil"/>
              <w:left w:val="single" w:color="000000" w:sz="8" w:space="0"/>
              <w:bottom w:val="single" w:color="000000" w:sz="8" w:space="0"/>
              <w:right w:val="single" w:color="000000" w:sz="8" w:space="0"/>
            </w:tcBorders>
            <w:shd w:val="clear" w:color="auto" w:fill="auto"/>
            <w:vAlign w:val="bottom"/>
          </w:tcPr>
          <w:p w14:paraId="59EC15B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0.09%</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44E0633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7AD0AE9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DF9DFB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47B1259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BD509F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7A39F50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61D2BF9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20FA464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4632AA9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6FFB4EB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48DABCB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bottom"/>
          </w:tcPr>
          <w:p w14:paraId="05A51A8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377" w:type="pct"/>
            <w:tcBorders>
              <w:top w:val="nil"/>
              <w:left w:val="single" w:color="000000" w:sz="8" w:space="0"/>
              <w:bottom w:val="single" w:color="000000" w:sz="8" w:space="0"/>
              <w:right w:val="single" w:color="000000" w:sz="8" w:space="0"/>
            </w:tcBorders>
            <w:shd w:val="clear" w:color="auto" w:fill="auto"/>
            <w:vAlign w:val="bottom"/>
          </w:tcPr>
          <w:p w14:paraId="20B14A7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0.0017 </w:t>
            </w:r>
          </w:p>
        </w:tc>
      </w:tr>
      <w:tr w14:paraId="1CA6A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75265A33">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电力</w:t>
            </w:r>
          </w:p>
        </w:tc>
        <w:tc>
          <w:tcPr>
            <w:tcW w:w="391" w:type="pct"/>
            <w:tcBorders>
              <w:top w:val="nil"/>
              <w:left w:val="single" w:color="000000" w:sz="8" w:space="0"/>
              <w:bottom w:val="single" w:color="000000" w:sz="8" w:space="0"/>
              <w:right w:val="single" w:color="000000" w:sz="8" w:space="0"/>
            </w:tcBorders>
            <w:shd w:val="clear" w:color="auto" w:fill="auto"/>
            <w:vAlign w:val="bottom"/>
          </w:tcPr>
          <w:p w14:paraId="1847DEE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76.9243</w:t>
            </w:r>
          </w:p>
        </w:tc>
        <w:tc>
          <w:tcPr>
            <w:tcW w:w="305" w:type="pct"/>
            <w:tcBorders>
              <w:top w:val="nil"/>
              <w:left w:val="single" w:color="000000" w:sz="8" w:space="0"/>
              <w:bottom w:val="single" w:color="000000" w:sz="8" w:space="0"/>
              <w:right w:val="single" w:color="000000" w:sz="8" w:space="0"/>
            </w:tcBorders>
            <w:shd w:val="clear" w:color="auto" w:fill="auto"/>
            <w:vAlign w:val="bottom"/>
          </w:tcPr>
          <w:p w14:paraId="41A34BD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7.35%</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191088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55F30B7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2BFB6D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0E25C6C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5B293C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4C08AF4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5016C45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33A4CC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5830CCD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1F7DF46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2E76744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bottom"/>
          </w:tcPr>
          <w:p w14:paraId="33897D4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377" w:type="pct"/>
            <w:tcBorders>
              <w:top w:val="nil"/>
              <w:left w:val="single" w:color="000000" w:sz="8" w:space="0"/>
              <w:bottom w:val="single" w:color="000000" w:sz="8" w:space="0"/>
              <w:right w:val="single" w:color="000000" w:sz="8" w:space="0"/>
            </w:tcBorders>
            <w:shd w:val="clear" w:color="auto" w:fill="auto"/>
            <w:vAlign w:val="bottom"/>
          </w:tcPr>
          <w:p w14:paraId="5F7D987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0.1396 </w:t>
            </w:r>
          </w:p>
        </w:tc>
      </w:tr>
      <w:tr w14:paraId="69B20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0381233D">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天然气</w:t>
            </w:r>
          </w:p>
        </w:tc>
        <w:tc>
          <w:tcPr>
            <w:tcW w:w="391" w:type="pct"/>
            <w:tcBorders>
              <w:top w:val="nil"/>
              <w:left w:val="single" w:color="000000" w:sz="8" w:space="0"/>
              <w:bottom w:val="single" w:color="000000" w:sz="8" w:space="0"/>
              <w:right w:val="single" w:color="000000" w:sz="8" w:space="0"/>
            </w:tcBorders>
            <w:shd w:val="clear" w:color="auto" w:fill="auto"/>
            <w:vAlign w:val="bottom"/>
          </w:tcPr>
          <w:p w14:paraId="48D8D6B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7.8960</w:t>
            </w:r>
          </w:p>
        </w:tc>
        <w:tc>
          <w:tcPr>
            <w:tcW w:w="305" w:type="pct"/>
            <w:tcBorders>
              <w:top w:val="nil"/>
              <w:left w:val="single" w:color="000000" w:sz="8" w:space="0"/>
              <w:bottom w:val="single" w:color="000000" w:sz="8" w:space="0"/>
              <w:right w:val="single" w:color="000000" w:sz="8" w:space="0"/>
            </w:tcBorders>
            <w:shd w:val="clear" w:color="auto" w:fill="auto"/>
            <w:vAlign w:val="bottom"/>
          </w:tcPr>
          <w:p w14:paraId="704F986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0.75%</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53AE445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533DD90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570B759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38C21E8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4F6F38F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7A60F6A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3D0E812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2C1E81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5A72272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48B4C28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4077743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bottom"/>
          </w:tcPr>
          <w:p w14:paraId="32E9020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377" w:type="pct"/>
            <w:tcBorders>
              <w:top w:val="nil"/>
              <w:left w:val="single" w:color="000000" w:sz="8" w:space="0"/>
              <w:bottom w:val="single" w:color="000000" w:sz="8" w:space="0"/>
              <w:right w:val="single" w:color="000000" w:sz="8" w:space="0"/>
            </w:tcBorders>
            <w:shd w:val="clear" w:color="auto" w:fill="auto"/>
            <w:vAlign w:val="bottom"/>
          </w:tcPr>
          <w:p w14:paraId="4F3ECAC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0.0143 </w:t>
            </w:r>
          </w:p>
        </w:tc>
      </w:tr>
      <w:tr w14:paraId="69098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0FBC89F9">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固废处理</w:t>
            </w:r>
          </w:p>
        </w:tc>
        <w:tc>
          <w:tcPr>
            <w:tcW w:w="391" w:type="pct"/>
            <w:tcBorders>
              <w:top w:val="nil"/>
              <w:left w:val="single" w:color="000000" w:sz="8" w:space="0"/>
              <w:bottom w:val="single" w:color="000000" w:sz="8" w:space="0"/>
              <w:right w:val="single" w:color="000000" w:sz="8" w:space="0"/>
            </w:tcBorders>
            <w:shd w:val="clear" w:color="auto" w:fill="auto"/>
            <w:vAlign w:val="bottom"/>
          </w:tcPr>
          <w:p w14:paraId="323C939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0.4914</w:t>
            </w:r>
          </w:p>
        </w:tc>
        <w:tc>
          <w:tcPr>
            <w:tcW w:w="305" w:type="pct"/>
            <w:tcBorders>
              <w:top w:val="nil"/>
              <w:left w:val="single" w:color="000000" w:sz="8" w:space="0"/>
              <w:bottom w:val="single" w:color="000000" w:sz="8" w:space="0"/>
              <w:right w:val="single" w:color="000000" w:sz="8" w:space="0"/>
            </w:tcBorders>
            <w:shd w:val="clear" w:color="auto" w:fill="auto"/>
            <w:vAlign w:val="bottom"/>
          </w:tcPr>
          <w:p w14:paraId="342A985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0.05%</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03355B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7EC2975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61046B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17F0EA1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E9B7AC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B199DF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149B8E6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4823BFF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75126D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7A03B7D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152B121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bottom"/>
          </w:tcPr>
          <w:p w14:paraId="66C90A0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377" w:type="pct"/>
            <w:tcBorders>
              <w:top w:val="nil"/>
              <w:left w:val="single" w:color="000000" w:sz="8" w:space="0"/>
              <w:bottom w:val="single" w:color="000000" w:sz="8" w:space="0"/>
              <w:right w:val="single" w:color="000000" w:sz="8" w:space="0"/>
            </w:tcBorders>
            <w:shd w:val="clear" w:color="auto" w:fill="auto"/>
            <w:vAlign w:val="bottom"/>
          </w:tcPr>
          <w:p w14:paraId="1B7C567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0.0009 </w:t>
            </w:r>
          </w:p>
        </w:tc>
      </w:tr>
      <w:tr w14:paraId="68596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3EE06021">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固废运输</w:t>
            </w:r>
          </w:p>
        </w:tc>
        <w:tc>
          <w:tcPr>
            <w:tcW w:w="391" w:type="pct"/>
            <w:tcBorders>
              <w:top w:val="nil"/>
              <w:left w:val="single" w:color="000000" w:sz="8" w:space="0"/>
              <w:bottom w:val="single" w:color="000000" w:sz="8" w:space="0"/>
              <w:right w:val="single" w:color="000000" w:sz="8" w:space="0"/>
            </w:tcBorders>
            <w:shd w:val="clear" w:color="auto" w:fill="auto"/>
            <w:vAlign w:val="bottom"/>
          </w:tcPr>
          <w:p w14:paraId="5679167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0.0015</w:t>
            </w:r>
          </w:p>
        </w:tc>
        <w:tc>
          <w:tcPr>
            <w:tcW w:w="305" w:type="pct"/>
            <w:tcBorders>
              <w:top w:val="nil"/>
              <w:left w:val="single" w:color="000000" w:sz="8" w:space="0"/>
              <w:bottom w:val="single" w:color="000000" w:sz="8" w:space="0"/>
              <w:right w:val="single" w:color="000000" w:sz="8" w:space="0"/>
            </w:tcBorders>
            <w:shd w:val="clear" w:color="auto" w:fill="auto"/>
            <w:vAlign w:val="bottom"/>
          </w:tcPr>
          <w:p w14:paraId="31B45FA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042E91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00615E3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D57E9B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7A6348E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7B512E2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5DD7B6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178E4BB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2EFA61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8184BB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7578852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50E1EE2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9" w:type="pct"/>
            <w:tcBorders>
              <w:top w:val="nil"/>
              <w:left w:val="single" w:color="000000" w:sz="8" w:space="0"/>
              <w:bottom w:val="single" w:color="000000" w:sz="8" w:space="0"/>
              <w:right w:val="single" w:color="000000" w:sz="8" w:space="0"/>
            </w:tcBorders>
            <w:shd w:val="clear" w:color="auto" w:fill="auto"/>
            <w:vAlign w:val="bottom"/>
          </w:tcPr>
          <w:p w14:paraId="44E17BB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377" w:type="pct"/>
            <w:tcBorders>
              <w:top w:val="nil"/>
              <w:left w:val="single" w:color="000000" w:sz="8" w:space="0"/>
              <w:bottom w:val="single" w:color="000000" w:sz="8" w:space="0"/>
              <w:right w:val="single" w:color="000000" w:sz="8" w:space="0"/>
            </w:tcBorders>
            <w:shd w:val="clear" w:color="auto" w:fill="auto"/>
            <w:vAlign w:val="bottom"/>
          </w:tcPr>
          <w:p w14:paraId="42EDC8F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0.0000 </w:t>
            </w:r>
          </w:p>
        </w:tc>
      </w:tr>
      <w:tr w14:paraId="664A6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17CC754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合计</w:t>
            </w:r>
          </w:p>
        </w:tc>
        <w:tc>
          <w:tcPr>
            <w:tcW w:w="391" w:type="pct"/>
            <w:tcBorders>
              <w:top w:val="nil"/>
              <w:left w:val="single" w:color="000000" w:sz="8" w:space="0"/>
              <w:bottom w:val="single" w:color="000000" w:sz="8" w:space="0"/>
              <w:right w:val="single" w:color="000000" w:sz="8" w:space="0"/>
            </w:tcBorders>
            <w:shd w:val="clear" w:color="auto" w:fill="auto"/>
            <w:vAlign w:val="bottom"/>
          </w:tcPr>
          <w:p w14:paraId="072C7E1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1047.28</w:t>
            </w:r>
          </w:p>
        </w:tc>
        <w:tc>
          <w:tcPr>
            <w:tcW w:w="305" w:type="pct"/>
            <w:tcBorders>
              <w:top w:val="nil"/>
              <w:left w:val="single" w:color="000000" w:sz="8" w:space="0"/>
              <w:bottom w:val="single" w:color="000000" w:sz="8" w:space="0"/>
              <w:right w:val="single" w:color="000000" w:sz="8" w:space="0"/>
            </w:tcBorders>
            <w:shd w:val="clear" w:color="auto" w:fill="auto"/>
            <w:vAlign w:val="center"/>
          </w:tcPr>
          <w:p w14:paraId="46D1260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2182D38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15DDE50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9DF254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38E8075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4032EAC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6DC8CC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5F52D9C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D940F0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6DB0C09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79" w:type="pct"/>
            <w:tcBorders>
              <w:top w:val="nil"/>
              <w:left w:val="single" w:color="000000" w:sz="8" w:space="0"/>
              <w:bottom w:val="single" w:color="000000" w:sz="8" w:space="0"/>
              <w:right w:val="single" w:color="000000" w:sz="8" w:space="0"/>
            </w:tcBorders>
            <w:shd w:val="clear" w:color="auto" w:fill="auto"/>
            <w:vAlign w:val="center"/>
          </w:tcPr>
          <w:p w14:paraId="320145F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66BE6FA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0EB0D78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377" w:type="pct"/>
            <w:tcBorders>
              <w:top w:val="nil"/>
              <w:left w:val="single" w:color="000000" w:sz="8" w:space="0"/>
              <w:bottom w:val="single" w:color="000000" w:sz="8" w:space="0"/>
              <w:right w:val="single" w:color="000000" w:sz="8" w:space="0"/>
            </w:tcBorders>
            <w:shd w:val="clear" w:color="auto" w:fill="auto"/>
            <w:vAlign w:val="center"/>
          </w:tcPr>
          <w:p w14:paraId="14E70E2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1.64</w:t>
            </w:r>
          </w:p>
        </w:tc>
      </w:tr>
    </w:tbl>
    <w:p w14:paraId="7E939800">
      <w:pPr>
        <w:pStyle w:val="17"/>
        <w:rPr>
          <w:rFonts w:hint="default"/>
          <w:lang w:val="en-US" w:eastAsia="zh-CN"/>
        </w:rPr>
      </w:pPr>
    </w:p>
    <w:p w14:paraId="72DD059B">
      <w:pPr>
        <w:spacing w:line="360" w:lineRule="auto"/>
        <w:ind w:firstLine="480" w:firstLineChars="200"/>
        <w:rPr>
          <w:rFonts w:hint="default" w:ascii="Times New Roman" w:hAnsi="Times New Roman" w:eastAsia="宋体"/>
          <w:i w:val="0"/>
          <w:iCs w:val="0"/>
          <w:color w:val="auto"/>
          <w:sz w:val="24"/>
          <w:szCs w:val="28"/>
          <w:lang w:val="en-US" w:eastAsia="zh-CN"/>
        </w:rPr>
      </w:pPr>
    </w:p>
    <w:p w14:paraId="66BB0363">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sectPr>
          <w:pgSz w:w="16838" w:h="11906" w:orient="landscape"/>
          <w:pgMar w:top="1800" w:right="1440" w:bottom="1800" w:left="1440" w:header="851" w:footer="992" w:gutter="0"/>
          <w:cols w:space="425" w:num="1"/>
          <w:docGrid w:type="lines" w:linePitch="312" w:charSpace="0"/>
        </w:sectPr>
      </w:pPr>
      <w:bookmarkStart w:id="19" w:name="_Toc32227"/>
    </w:p>
    <w:p w14:paraId="36335B7C">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r>
        <w:rPr>
          <w:rFonts w:hint="eastAsia" w:ascii="Times New Roman" w:hAnsi="Times New Roman" w:eastAsia="宋体"/>
          <w:b/>
          <w:bCs/>
          <w:color w:val="auto"/>
          <w:sz w:val="32"/>
          <w:szCs w:val="32"/>
        </w:rPr>
        <w:t>影响评价</w:t>
      </w:r>
      <w:bookmarkEnd w:id="19"/>
    </w:p>
    <w:p w14:paraId="6B498394">
      <w:pPr>
        <w:pStyle w:val="3"/>
        <w:keepNext w:val="0"/>
        <w:keepLines w:val="0"/>
        <w:numPr>
          <w:ilvl w:val="0"/>
          <w:numId w:val="7"/>
        </w:numPr>
        <w:spacing w:before="80" w:line="360" w:lineRule="auto"/>
        <w:rPr>
          <w:rFonts w:ascii="Times New Roman" w:hAnsi="Times New Roman" w:eastAsia="宋体"/>
          <w:b/>
          <w:bCs/>
          <w:color w:val="auto"/>
          <w:sz w:val="28"/>
          <w:szCs w:val="28"/>
        </w:rPr>
      </w:pPr>
      <w:bookmarkStart w:id="20" w:name="_Toc19360"/>
      <w:r>
        <w:rPr>
          <w:rFonts w:hint="eastAsia" w:ascii="Times New Roman" w:hAnsi="Times New Roman" w:eastAsia="宋体"/>
          <w:b/>
          <w:bCs/>
          <w:color w:val="auto"/>
          <w:sz w:val="28"/>
          <w:szCs w:val="28"/>
        </w:rPr>
        <w:t>影响类型和特征化因子选择</w:t>
      </w:r>
      <w:bookmarkEnd w:id="20"/>
    </w:p>
    <w:p w14:paraId="7E49B54E">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本报告使用的特征化因子为：IPCC 2021（100年GWP）。</w:t>
      </w:r>
    </w:p>
    <w:p w14:paraId="6CBD6AF1">
      <w:pPr>
        <w:pStyle w:val="3"/>
        <w:keepNext w:val="0"/>
        <w:keepLines w:val="0"/>
        <w:numPr>
          <w:ilvl w:val="0"/>
          <w:numId w:val="7"/>
        </w:numPr>
        <w:spacing w:before="80" w:line="360" w:lineRule="auto"/>
        <w:rPr>
          <w:rFonts w:ascii="Times New Roman" w:hAnsi="Times New Roman" w:eastAsia="宋体"/>
          <w:b/>
          <w:bCs/>
          <w:color w:val="auto"/>
          <w:sz w:val="28"/>
          <w:szCs w:val="28"/>
        </w:rPr>
      </w:pPr>
      <w:bookmarkStart w:id="21" w:name="_Toc9757"/>
      <w:r>
        <w:rPr>
          <w:rFonts w:hint="eastAsia" w:ascii="Times New Roman" w:hAnsi="Times New Roman" w:eastAsia="宋体"/>
          <w:b/>
          <w:bCs/>
          <w:color w:val="auto"/>
          <w:sz w:val="28"/>
          <w:szCs w:val="28"/>
        </w:rPr>
        <w:t>产品碳足迹结果计算</w:t>
      </w:r>
      <w:bookmarkEnd w:id="21"/>
    </w:p>
    <w:p w14:paraId="243262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产品碳足迹的公式是整个产品生命周期中所有活动的所有原辅材料、能源乘以其排放因子后再加和。其计算公式如下：</w:t>
      </w:r>
    </w:p>
    <w:p w14:paraId="6A6C88BF">
      <w:pPr>
        <w:pStyle w:val="16"/>
        <w:jc w:val="right"/>
        <w:rPr>
          <w:rFonts w:hint="default"/>
          <w:lang w:val="en-US"/>
        </w:rPr>
      </w:pPr>
      <m:oMath>
        <m:r>
          <m:rPr/>
          <w:rPr>
            <w:rFonts w:hint="default" w:ascii="DejaVu Math TeX Gyre" w:hAnsi="DejaVu Math TeX Gyre" w:cstheme="minorBidi"/>
            <w:color w:val="auto"/>
            <w:kern w:val="2"/>
            <w:sz w:val="21"/>
            <w:szCs w:val="21"/>
            <w:lang w:val="en-US" w:eastAsia="zh-CN" w:bidi="ar-SA"/>
          </w:rPr>
          <m:t>CFP=</m:t>
        </m:r>
        <m:nary>
          <m:naryPr>
            <m:chr m:val="∑"/>
            <m:limLoc m:val="subSup"/>
            <m:ctrlPr>
              <w:rPr>
                <w:rFonts w:hint="default" w:ascii="DejaVu Math TeX Gyre" w:hAnsi="DejaVu Math TeX Gyre" w:cstheme="minorBidi"/>
                <w:i/>
                <w:iCs/>
                <w:color w:val="auto"/>
                <w:kern w:val="2"/>
                <w:sz w:val="21"/>
                <w:szCs w:val="21"/>
                <w:lang w:val="en-US" w:eastAsia="zh-CN" w:bidi="ar-SA"/>
              </w:rPr>
            </m:ctrlPr>
          </m:naryPr>
          <m:sub>
            <m:r>
              <m:rPr/>
              <w:rPr>
                <w:rFonts w:hint="default" w:ascii="DejaVu Math TeX Gyre" w:hAnsi="DejaVu Math TeX Gyre" w:cstheme="minorBidi"/>
                <w:color w:val="auto"/>
                <w:kern w:val="2"/>
                <w:sz w:val="21"/>
                <w:szCs w:val="21"/>
                <w:lang w:val="en-US" w:eastAsia="zh-CN" w:bidi="ar-SA"/>
              </w:rPr>
              <m:t>i=1,j=1</m:t>
            </m:r>
            <m:ctrlPr>
              <w:rPr>
                <w:rFonts w:hint="default" w:ascii="DejaVu Math TeX Gyre" w:hAnsi="DejaVu Math TeX Gyre" w:cstheme="minorBidi"/>
                <w:i/>
                <w:iCs/>
                <w:color w:val="auto"/>
                <w:kern w:val="2"/>
                <w:sz w:val="21"/>
                <w:szCs w:val="21"/>
                <w:lang w:val="en-US" w:eastAsia="zh-CN" w:bidi="ar-SA"/>
              </w:rPr>
            </m:ctrlPr>
          </m:sub>
          <m:sup>
            <m:r>
              <m:rPr/>
              <w:rPr>
                <w:rFonts w:hint="default" w:ascii="DejaVu Math TeX Gyre" w:hAnsi="DejaVu Math TeX Gyre" w:cstheme="minorBidi"/>
                <w:color w:val="auto"/>
                <w:kern w:val="2"/>
                <w:sz w:val="21"/>
                <w:szCs w:val="21"/>
                <w:lang w:val="en-US" w:eastAsia="zh-CN" w:bidi="ar-SA"/>
              </w:rPr>
              <m:t>n</m:t>
            </m:r>
            <m:ctrlPr>
              <w:rPr>
                <w:rFonts w:hint="default" w:ascii="DejaVu Math TeX Gyre" w:hAnsi="DejaVu Math TeX Gyre" w:cstheme="minorBidi"/>
                <w:i/>
                <w:iCs/>
                <w:color w:val="auto"/>
                <w:kern w:val="2"/>
                <w:sz w:val="21"/>
                <w:szCs w:val="21"/>
                <w:lang w:val="en-US" w:eastAsia="zh-CN" w:bidi="ar-SA"/>
              </w:rPr>
            </m:ctrlPr>
          </m:sup>
          <m:e>
            <m:d>
              <m:dPr>
                <m:ctrlPr>
                  <w:rPr>
                    <w:rFonts w:hint="default" w:ascii="DejaVu Math TeX Gyre" w:hAnsi="DejaVu Math TeX Gyre" w:cstheme="minorBidi"/>
                    <w:i/>
                    <w:iCs/>
                    <w:color w:val="auto"/>
                    <w:kern w:val="2"/>
                    <w:sz w:val="21"/>
                    <w:szCs w:val="21"/>
                    <w:lang w:val="en-US" w:eastAsia="zh-CN" w:bidi="ar-SA"/>
                  </w:rPr>
                </m:ctrlPr>
              </m:dPr>
              <m:e>
                <m:sSub>
                  <m:sSubPr>
                    <m:ctrlPr>
                      <w:rPr>
                        <w:rFonts w:hint="default" w:ascii="DejaVu Math TeX Gyre" w:hAnsi="DejaVu Math TeX Gyre" w:cstheme="minorBidi"/>
                        <w:i/>
                        <w:iCs/>
                        <w:color w:val="auto"/>
                        <w:kern w:val="2"/>
                        <w:sz w:val="21"/>
                        <w:szCs w:val="21"/>
                        <w:lang w:val="en-US" w:eastAsia="zh-CN" w:bidi="ar-SA"/>
                      </w:rPr>
                    </m:ctrlPr>
                  </m:sSubPr>
                  <m:e>
                    <m:r>
                      <m:rPr/>
                      <w:rPr>
                        <w:rFonts w:hint="default" w:ascii="DejaVu Math TeX Gyre" w:hAnsi="DejaVu Math TeX Gyre" w:cstheme="minorBidi"/>
                        <w:color w:val="auto"/>
                        <w:kern w:val="2"/>
                        <w:sz w:val="21"/>
                        <w:szCs w:val="21"/>
                        <w:lang w:val="en-US" w:eastAsia="zh-CN" w:bidi="ar-SA"/>
                      </w:rPr>
                      <m:t>AD</m:t>
                    </m:r>
                    <m:ctrlPr>
                      <w:rPr>
                        <w:rFonts w:hint="default" w:ascii="DejaVu Math TeX Gyre" w:hAnsi="DejaVu Math TeX Gyre" w:cstheme="minorBidi"/>
                        <w:i/>
                        <w:iCs/>
                        <w:color w:val="auto"/>
                        <w:kern w:val="2"/>
                        <w:sz w:val="21"/>
                        <w:szCs w:val="21"/>
                        <w:lang w:val="en-US" w:eastAsia="zh-CN" w:bidi="ar-SA"/>
                      </w:rPr>
                    </m:ctrlPr>
                  </m:e>
                  <m:sub>
                    <m:r>
                      <m:rPr/>
                      <w:rPr>
                        <w:rFonts w:hint="default" w:ascii="DejaVu Math TeX Gyre" w:hAnsi="DejaVu Math TeX Gyre" w:cstheme="minorBidi"/>
                        <w:color w:val="auto"/>
                        <w:kern w:val="2"/>
                        <w:sz w:val="21"/>
                        <w:szCs w:val="21"/>
                        <w:lang w:val="en-US" w:eastAsia="zh-CN" w:bidi="ar-SA"/>
                      </w:rPr>
                      <m:t>i</m:t>
                    </m:r>
                    <m:ctrlPr>
                      <w:rPr>
                        <w:rFonts w:hint="default" w:ascii="DejaVu Math TeX Gyre" w:hAnsi="DejaVu Math TeX Gyre" w:cstheme="minorBidi"/>
                        <w:i/>
                        <w:iCs/>
                        <w:color w:val="auto"/>
                        <w:kern w:val="2"/>
                        <w:sz w:val="21"/>
                        <w:szCs w:val="21"/>
                        <w:lang w:val="en-US" w:eastAsia="zh-CN" w:bidi="ar-SA"/>
                      </w:rPr>
                    </m:ctrlPr>
                  </m:sub>
                </m:sSub>
                <m:r>
                  <m:rPr/>
                  <w:rPr>
                    <w:rFonts w:ascii="DejaVu Math TeX Gyre" w:hAnsi="DejaVu Math TeX Gyre" w:cstheme="minorBidi"/>
                    <w:color w:val="auto"/>
                    <w:kern w:val="2"/>
                    <w:sz w:val="21"/>
                    <w:szCs w:val="21"/>
                    <w:lang w:val="en-US" w:bidi="ar-SA"/>
                  </w:rPr>
                  <m:t>×</m:t>
                </m:r>
                <m:sSub>
                  <m:sSubPr>
                    <m:ctrlPr>
                      <w:rPr>
                        <w:rFonts w:ascii="DejaVu Math TeX Gyre" w:hAnsi="DejaVu Math TeX Gyre" w:cstheme="minorBidi"/>
                        <w:i/>
                        <w:iCs/>
                        <w:color w:val="auto"/>
                        <w:kern w:val="2"/>
                        <w:sz w:val="21"/>
                        <w:szCs w:val="21"/>
                        <w:lang w:val="en-US" w:bidi="ar-SA"/>
                      </w:rPr>
                    </m:ctrlPr>
                  </m:sSubPr>
                  <m:e>
                    <m:r>
                      <m:rPr/>
                      <w:rPr>
                        <w:rFonts w:hint="default" w:ascii="DejaVu Math TeX Gyre" w:hAnsi="DejaVu Math TeX Gyre" w:cstheme="minorBidi"/>
                        <w:color w:val="auto"/>
                        <w:kern w:val="2"/>
                        <w:sz w:val="21"/>
                        <w:szCs w:val="21"/>
                        <w:lang w:val="en-US" w:bidi="ar-SA"/>
                      </w:rPr>
                      <m:t>EF</m:t>
                    </m:r>
                    <m:ctrlPr>
                      <w:rPr>
                        <w:rFonts w:ascii="DejaVu Math TeX Gyre" w:hAnsi="DejaVu Math TeX Gyre" w:cstheme="minorBidi"/>
                        <w:i/>
                        <w:iCs/>
                        <w:color w:val="auto"/>
                        <w:kern w:val="2"/>
                        <w:sz w:val="21"/>
                        <w:szCs w:val="21"/>
                        <w:lang w:val="en-US" w:bidi="ar-SA"/>
                      </w:rPr>
                    </m:ctrlPr>
                  </m:e>
                  <m:sub>
                    <m:r>
                      <m:rPr/>
                      <w:rPr>
                        <w:rFonts w:hint="default" w:ascii="DejaVu Math TeX Gyre" w:hAnsi="DejaVu Math TeX Gyre" w:cstheme="minorBidi"/>
                        <w:color w:val="auto"/>
                        <w:kern w:val="2"/>
                        <w:sz w:val="21"/>
                        <w:szCs w:val="21"/>
                        <w:lang w:val="en-US" w:bidi="ar-SA"/>
                      </w:rPr>
                      <m:t>ij</m:t>
                    </m:r>
                    <m:ctrlPr>
                      <w:rPr>
                        <w:rFonts w:ascii="DejaVu Math TeX Gyre" w:hAnsi="DejaVu Math TeX Gyre" w:cstheme="minorBidi"/>
                        <w:i/>
                        <w:iCs/>
                        <w:color w:val="auto"/>
                        <w:kern w:val="2"/>
                        <w:sz w:val="21"/>
                        <w:szCs w:val="21"/>
                        <w:lang w:val="en-US" w:bidi="ar-SA"/>
                      </w:rPr>
                    </m:ctrlPr>
                  </m:sub>
                </m:sSub>
                <m:r>
                  <m:rPr/>
                  <w:rPr>
                    <w:rFonts w:ascii="DejaVu Math TeX Gyre" w:hAnsi="DejaVu Math TeX Gyre" w:cstheme="minorBidi"/>
                    <w:color w:val="auto"/>
                    <w:kern w:val="2"/>
                    <w:sz w:val="21"/>
                    <w:szCs w:val="21"/>
                    <w:lang w:val="en-US" w:bidi="ar-SA"/>
                  </w:rPr>
                  <m:t>×</m:t>
                </m:r>
                <m:sSub>
                  <m:sSubPr>
                    <m:ctrlPr>
                      <w:rPr>
                        <w:rFonts w:ascii="DejaVu Math TeX Gyre" w:hAnsi="DejaVu Math TeX Gyre" w:cstheme="minorBidi"/>
                        <w:i/>
                        <w:iCs/>
                        <w:color w:val="auto"/>
                        <w:kern w:val="2"/>
                        <w:sz w:val="21"/>
                        <w:szCs w:val="21"/>
                        <w:lang w:val="en-US" w:bidi="ar-SA"/>
                      </w:rPr>
                    </m:ctrlPr>
                  </m:sSubPr>
                  <m:e>
                    <m:r>
                      <m:rPr/>
                      <w:rPr>
                        <w:rFonts w:hint="default" w:ascii="DejaVu Math TeX Gyre" w:hAnsi="DejaVu Math TeX Gyre" w:cstheme="minorBidi"/>
                        <w:color w:val="auto"/>
                        <w:kern w:val="2"/>
                        <w:sz w:val="21"/>
                        <w:szCs w:val="21"/>
                        <w:lang w:val="en-US" w:bidi="ar-SA"/>
                      </w:rPr>
                      <m:t>GWP</m:t>
                    </m:r>
                    <m:ctrlPr>
                      <w:rPr>
                        <w:rFonts w:ascii="DejaVu Math TeX Gyre" w:hAnsi="DejaVu Math TeX Gyre" w:cstheme="minorBidi"/>
                        <w:i/>
                        <w:iCs/>
                        <w:color w:val="auto"/>
                        <w:kern w:val="2"/>
                        <w:sz w:val="21"/>
                        <w:szCs w:val="21"/>
                        <w:lang w:val="en-US" w:bidi="ar-SA"/>
                      </w:rPr>
                    </m:ctrlPr>
                  </m:e>
                  <m:sub>
                    <m:r>
                      <m:rPr/>
                      <w:rPr>
                        <w:rFonts w:hint="default" w:ascii="DejaVu Math TeX Gyre" w:hAnsi="DejaVu Math TeX Gyre" w:cstheme="minorBidi"/>
                        <w:color w:val="auto"/>
                        <w:kern w:val="2"/>
                        <w:sz w:val="21"/>
                        <w:szCs w:val="21"/>
                        <w:lang w:val="en-US" w:bidi="ar-SA"/>
                      </w:rPr>
                      <m:t>j</m:t>
                    </m:r>
                    <m:ctrlPr>
                      <w:rPr>
                        <w:rFonts w:ascii="DejaVu Math TeX Gyre" w:hAnsi="DejaVu Math TeX Gyre" w:cstheme="minorBidi"/>
                        <w:i/>
                        <w:iCs/>
                        <w:color w:val="auto"/>
                        <w:kern w:val="2"/>
                        <w:sz w:val="21"/>
                        <w:szCs w:val="21"/>
                        <w:lang w:val="en-US" w:bidi="ar-SA"/>
                      </w:rPr>
                    </m:ctrlPr>
                  </m:sub>
                </m:sSub>
                <m:ctrlPr>
                  <w:rPr>
                    <w:rFonts w:hint="default" w:ascii="DejaVu Math TeX Gyre" w:hAnsi="DejaVu Math TeX Gyre" w:cstheme="minorBidi"/>
                    <w:i/>
                    <w:iCs/>
                    <w:color w:val="auto"/>
                    <w:kern w:val="2"/>
                    <w:sz w:val="21"/>
                    <w:szCs w:val="21"/>
                    <w:lang w:val="en-US" w:eastAsia="zh-CN" w:bidi="ar-SA"/>
                  </w:rPr>
                </m:ctrlPr>
              </m:e>
            </m:d>
            <m:ctrlPr>
              <w:rPr>
                <w:rFonts w:hint="default" w:ascii="DejaVu Math TeX Gyre" w:hAnsi="DejaVu Math TeX Gyre" w:cstheme="minorBidi"/>
                <w:i/>
                <w:iCs/>
                <w:color w:val="auto"/>
                <w:kern w:val="2"/>
                <w:sz w:val="21"/>
                <w:szCs w:val="21"/>
                <w:lang w:val="en-US" w:eastAsia="zh-CN" w:bidi="ar-SA"/>
              </w:rPr>
            </m:ctrlPr>
          </m:e>
        </m:nary>
      </m:oMath>
      <w:r>
        <w:rPr>
          <w:rFonts w:hint="default" w:ascii="Times New Roman" w:hAnsi="Times New Roman" w:eastAsia="仿宋" w:cs="Times New Roman"/>
          <w:color w:val="auto"/>
          <w:kern w:val="2"/>
          <w:sz w:val="28"/>
          <w:szCs w:val="28"/>
          <w:lang w:val="en-US" w:eastAsia="zh-CN" w:bidi="ar-SA"/>
        </w:rPr>
        <w:t xml:space="preserve">            </w:t>
      </w:r>
      <w:r>
        <w:rPr>
          <w:rFonts w:hint="eastAsia" w:ascii="Times New Roman" w:hAnsi="Times New Roman" w:eastAsia="仿宋" w:cs="Times New Roman"/>
          <w:color w:val="auto"/>
          <w:kern w:val="2"/>
          <w:sz w:val="28"/>
          <w:szCs w:val="28"/>
          <w:lang w:val="en-US" w:eastAsia="zh-CN" w:bidi="ar-SA"/>
        </w:rPr>
        <w:t>（</w:t>
      </w:r>
      <w:r>
        <w:rPr>
          <w:rFonts w:hint="default" w:hAnsi="Times New Roman" w:eastAsia="仿宋" w:cs="Times New Roman"/>
          <w:color w:val="auto"/>
          <w:kern w:val="2"/>
          <w:sz w:val="28"/>
          <w:szCs w:val="28"/>
          <w:lang w:val="en-US" w:eastAsia="zh-CN" w:bidi="ar-SA"/>
        </w:rPr>
        <w:t>3</w:t>
      </w:r>
      <w:r>
        <w:rPr>
          <w:rFonts w:hint="eastAsia" w:ascii="Times New Roman" w:hAnsi="Times New Roman" w:eastAsia="仿宋" w:cs="Times New Roman"/>
          <w:color w:val="auto"/>
          <w:kern w:val="2"/>
          <w:sz w:val="28"/>
          <w:szCs w:val="28"/>
          <w:lang w:val="en-US" w:eastAsia="zh-CN" w:bidi="ar-SA"/>
        </w:rPr>
        <w:t>）</w:t>
      </w:r>
    </w:p>
    <w:p w14:paraId="0BFC1E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t>
      </w:r>
    </w:p>
    <w:p w14:paraId="623A6540">
      <w:pPr>
        <w:spacing w:line="360" w:lineRule="auto"/>
        <w:ind w:firstLine="480" w:firstLineChars="200"/>
        <w:rPr>
          <w:rFonts w:hint="eastAsia" w:ascii="宋体" w:hAnsi="宋体" w:eastAsia="宋体" w:cs="宋体"/>
          <w:sz w:val="24"/>
          <w:szCs w:val="24"/>
        </w:rPr>
      </w:pPr>
      <w:r>
        <w:rPr>
          <w:rFonts w:hint="eastAsia" w:ascii="宋体" w:hAnsi="宋体" w:eastAsia="宋体" w:cs="宋体"/>
          <w:i/>
          <w:iCs/>
          <w:sz w:val="24"/>
          <w:szCs w:val="24"/>
        </w:rPr>
        <w:t>CFP</w:t>
      </w:r>
      <w:r>
        <w:rPr>
          <w:rFonts w:hint="eastAsia" w:ascii="宋体" w:hAnsi="宋体" w:eastAsia="宋体" w:cs="宋体"/>
          <w:sz w:val="24"/>
          <w:szCs w:val="24"/>
        </w:rPr>
        <w:t>——</w:t>
      </w:r>
      <w:r>
        <w:rPr>
          <w:rFonts w:hint="default" w:ascii="Times New Roman Regular" w:hAnsi="Times New Roman Regular" w:eastAsia="宋体" w:cs="Times New Roman Regular"/>
          <w:sz w:val="24"/>
          <w:szCs w:val="24"/>
        </w:rPr>
        <w:t>产品碳足迹或产品部分碳足迹，以千克二氧化碳当量每功能单位或声明单位（kgCO</w:t>
      </w:r>
      <w:r>
        <w:rPr>
          <w:rFonts w:hint="default" w:ascii="Times New Roman Regular" w:hAnsi="Times New Roman Regular" w:eastAsia="宋体" w:cs="Times New Roman Regular"/>
          <w:sz w:val="24"/>
          <w:szCs w:val="24"/>
          <w:vertAlign w:val="subscript"/>
        </w:rPr>
        <w:t>2</w:t>
      </w:r>
      <w:r>
        <w:rPr>
          <w:rFonts w:hint="default" w:ascii="Times New Roman Regular" w:hAnsi="Times New Roman Regular" w:eastAsia="宋体" w:cs="Times New Roman Regular"/>
          <w:sz w:val="24"/>
          <w:szCs w:val="24"/>
        </w:rPr>
        <w:t>e/功能单位或声明单位）计；</w:t>
      </w:r>
    </w:p>
    <w:p w14:paraId="754B2036">
      <w:pPr>
        <w:spacing w:line="360" w:lineRule="auto"/>
        <w:ind w:firstLine="480" w:firstLineChars="200"/>
        <w:rPr>
          <w:rFonts w:hint="eastAsia" w:ascii="宋体" w:hAnsi="宋体" w:eastAsia="宋体" w:cs="宋体"/>
          <w:sz w:val="24"/>
          <w:szCs w:val="24"/>
        </w:rPr>
      </w:pPr>
      <w:r>
        <w:rPr>
          <w:rFonts w:hint="eastAsia" w:ascii="宋体" w:hAnsi="宋体" w:eastAsia="宋体" w:cs="宋体"/>
          <w:i/>
          <w:iCs/>
          <w:sz w:val="24"/>
          <w:szCs w:val="24"/>
        </w:rPr>
        <w:t>AD</w:t>
      </w:r>
      <w:r>
        <w:rPr>
          <w:rFonts w:hint="eastAsia" w:ascii="宋体" w:hAnsi="宋体" w:eastAsia="宋体" w:cs="宋体"/>
          <w:i/>
          <w:iCs/>
          <w:sz w:val="24"/>
          <w:szCs w:val="24"/>
          <w:vertAlign w:val="subscript"/>
        </w:rPr>
        <w:t>i</w:t>
      </w:r>
      <w:r>
        <w:rPr>
          <w:rFonts w:hint="eastAsia" w:ascii="宋体" w:hAnsi="宋体" w:eastAsia="宋体" w:cs="宋体"/>
          <w:sz w:val="24"/>
          <w:szCs w:val="24"/>
        </w:rPr>
        <w:t>——</w:t>
      </w:r>
      <w:r>
        <w:rPr>
          <w:rFonts w:hint="default" w:ascii="Times New Roman Regular" w:hAnsi="Times New Roman Regular" w:eastAsia="宋体" w:cs="Times New Roman Regular"/>
          <w:i w:val="0"/>
          <w:sz w:val="24"/>
          <w:szCs w:val="24"/>
        </w:rPr>
        <w:t>系统边界内，各功能单位（声明单位）中第</w:t>
      </w:r>
      <w:r>
        <w:rPr>
          <w:rFonts w:hint="default" w:ascii="Times New Roman Regular" w:hAnsi="Times New Roman Regular" w:eastAsia="宋体" w:cs="Times New Roman Regular"/>
          <w:i w:val="0"/>
          <w:iCs/>
          <w:sz w:val="24"/>
          <w:szCs w:val="24"/>
        </w:rPr>
        <w:t>i</w:t>
      </w:r>
      <w:r>
        <w:rPr>
          <w:rFonts w:hint="default" w:ascii="Times New Roman Regular" w:hAnsi="Times New Roman Regular" w:eastAsia="宋体" w:cs="Times New Roman Regular"/>
          <w:i w:val="0"/>
          <w:sz w:val="24"/>
          <w:szCs w:val="24"/>
        </w:rPr>
        <w:t>种活动的GHG排放和清除相关数据（包括初级数据和次级数据），单位根据具体排放源确定；</w:t>
      </w:r>
    </w:p>
    <w:p w14:paraId="5E1FC142">
      <w:pPr>
        <w:spacing w:line="360" w:lineRule="auto"/>
        <w:ind w:firstLine="480" w:firstLineChars="200"/>
        <w:rPr>
          <w:rFonts w:hint="default" w:ascii="Times New Roman Regular" w:hAnsi="Times New Roman Regular" w:eastAsia="宋体" w:cs="Times New Roman Regular"/>
          <w:i w:val="0"/>
          <w:sz w:val="24"/>
          <w:szCs w:val="24"/>
        </w:rPr>
      </w:pPr>
      <w:r>
        <w:rPr>
          <w:rFonts w:hint="eastAsia" w:ascii="宋体" w:hAnsi="宋体" w:eastAsia="宋体" w:cs="宋体"/>
          <w:i/>
          <w:iCs/>
          <w:sz w:val="24"/>
          <w:szCs w:val="24"/>
        </w:rPr>
        <w:t>EF</w:t>
      </w:r>
      <w:r>
        <w:rPr>
          <w:rFonts w:hint="eastAsia" w:ascii="宋体" w:hAnsi="宋体" w:eastAsia="宋体" w:cs="宋体"/>
          <w:i/>
          <w:iCs/>
          <w:sz w:val="24"/>
          <w:szCs w:val="24"/>
          <w:vertAlign w:val="subscript"/>
        </w:rPr>
        <w:t>i,j</w:t>
      </w:r>
      <w:r>
        <w:rPr>
          <w:rFonts w:hint="eastAsia" w:ascii="宋体" w:hAnsi="宋体" w:eastAsia="宋体" w:cs="宋体"/>
          <w:sz w:val="24"/>
          <w:szCs w:val="24"/>
        </w:rPr>
        <w:t>——</w:t>
      </w:r>
      <w:r>
        <w:rPr>
          <w:rFonts w:hint="default" w:ascii="Times New Roman Regular" w:hAnsi="Times New Roman Regular" w:eastAsia="宋体" w:cs="Times New Roman Regular"/>
          <w:i w:val="0"/>
          <w:sz w:val="24"/>
          <w:szCs w:val="24"/>
        </w:rPr>
        <w:t>第</w:t>
      </w:r>
      <w:r>
        <w:rPr>
          <w:rFonts w:hint="default" w:ascii="Times New Roman Regular" w:hAnsi="Times New Roman Regular" w:eastAsia="宋体" w:cs="Times New Roman Regular"/>
          <w:i w:val="0"/>
          <w:iCs/>
          <w:sz w:val="24"/>
          <w:szCs w:val="24"/>
        </w:rPr>
        <w:t>i</w:t>
      </w:r>
      <w:r>
        <w:rPr>
          <w:rFonts w:hint="default" w:ascii="Times New Roman Regular" w:hAnsi="Times New Roman Regular" w:eastAsia="宋体" w:cs="Times New Roman Regular"/>
          <w:i w:val="0"/>
          <w:sz w:val="24"/>
          <w:szCs w:val="24"/>
        </w:rPr>
        <w:t>种活动对应的温室气体</w:t>
      </w:r>
      <w:r>
        <w:rPr>
          <w:rFonts w:hint="default" w:ascii="Times New Roman Regular" w:hAnsi="Times New Roman Regular" w:eastAsia="宋体" w:cs="Times New Roman Regular"/>
          <w:i w:val="0"/>
          <w:iCs/>
          <w:sz w:val="24"/>
          <w:szCs w:val="24"/>
        </w:rPr>
        <w:t>j</w:t>
      </w:r>
      <w:r>
        <w:rPr>
          <w:rFonts w:hint="default" w:ascii="Times New Roman Regular" w:hAnsi="Times New Roman Regular" w:eastAsia="宋体" w:cs="Times New Roman Regular"/>
          <w:i w:val="0"/>
          <w:sz w:val="24"/>
          <w:szCs w:val="24"/>
        </w:rPr>
        <w:t>的排放因子数据，单位与GHG活动数据相匹配；</w:t>
      </w:r>
    </w:p>
    <w:p w14:paraId="0345F4BF">
      <w:pPr>
        <w:spacing w:line="360" w:lineRule="auto"/>
        <w:ind w:firstLine="480" w:firstLineChars="200"/>
        <w:rPr>
          <w:rFonts w:hint="default" w:ascii="Times New Roman Regular" w:hAnsi="Times New Roman Regular" w:eastAsia="宋体" w:cs="Times New Roman Regular"/>
          <w:i w:val="0"/>
          <w:sz w:val="24"/>
          <w:szCs w:val="24"/>
        </w:rPr>
      </w:pPr>
      <w:r>
        <w:rPr>
          <w:rFonts w:hint="eastAsia" w:ascii="宋体" w:hAnsi="宋体" w:eastAsia="宋体" w:cs="宋体"/>
          <w:i/>
          <w:iCs/>
          <w:sz w:val="24"/>
          <w:szCs w:val="24"/>
        </w:rPr>
        <w:t>GWP</w:t>
      </w:r>
      <w:r>
        <w:rPr>
          <w:rFonts w:hint="eastAsia" w:ascii="宋体" w:hAnsi="宋体" w:eastAsia="宋体" w:cs="宋体"/>
          <w:i/>
          <w:iCs/>
          <w:sz w:val="24"/>
          <w:szCs w:val="24"/>
          <w:vertAlign w:val="subscript"/>
        </w:rPr>
        <w:t>j</w:t>
      </w:r>
      <w:r>
        <w:rPr>
          <w:rFonts w:hint="eastAsia" w:ascii="宋体" w:hAnsi="宋体" w:eastAsia="宋体" w:cs="宋体"/>
          <w:sz w:val="24"/>
          <w:szCs w:val="24"/>
        </w:rPr>
        <w:t>——</w:t>
      </w:r>
      <w:r>
        <w:rPr>
          <w:rFonts w:hint="default" w:ascii="Times New Roman Regular" w:hAnsi="Times New Roman Regular" w:eastAsia="宋体" w:cs="Times New Roman Regular"/>
          <w:i w:val="0"/>
          <w:sz w:val="24"/>
          <w:szCs w:val="24"/>
        </w:rPr>
        <w:t>温室气体</w:t>
      </w:r>
      <w:r>
        <w:rPr>
          <w:rFonts w:hint="default" w:ascii="Times New Roman Regular" w:hAnsi="Times New Roman Regular" w:eastAsia="宋体" w:cs="Times New Roman Regular"/>
          <w:i w:val="0"/>
          <w:iCs/>
          <w:sz w:val="24"/>
          <w:szCs w:val="24"/>
        </w:rPr>
        <w:t>j</w:t>
      </w:r>
      <w:r>
        <w:rPr>
          <w:rFonts w:hint="default" w:ascii="Times New Roman Regular" w:hAnsi="Times New Roman Regular" w:eastAsia="宋体" w:cs="Times New Roman Regular"/>
          <w:i w:val="0"/>
          <w:sz w:val="24"/>
          <w:szCs w:val="24"/>
        </w:rPr>
        <w:t>的全球变暖潜势值。</w:t>
      </w:r>
    </w:p>
    <w:p w14:paraId="5D1C27EA">
      <w:pPr>
        <w:spacing w:line="360" w:lineRule="auto"/>
        <w:ind w:firstLine="480" w:firstLineChars="200"/>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t>注：本报告采用2021年IPCC第六次评估报告AR6值。</w:t>
      </w:r>
    </w:p>
    <w:p w14:paraId="7E93EE91">
      <w:pPr>
        <w:spacing w:line="360" w:lineRule="auto"/>
        <w:ind w:firstLine="480" w:firstLineChars="200"/>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lang w:val="en-US" w:eastAsia="zh-CN"/>
        </w:rPr>
        <w:t>本研究采用S</w:t>
      </w:r>
      <w:r>
        <w:rPr>
          <w:rFonts w:hint="eastAsia" w:ascii="Times New Roman Regular" w:hAnsi="Times New Roman Regular" w:eastAsia="宋体" w:cs="Times New Roman Regular"/>
          <w:sz w:val="24"/>
          <w:szCs w:val="24"/>
          <w:lang w:val="en-US" w:eastAsia="zh-CN"/>
        </w:rPr>
        <w:t>imapro软件</w:t>
      </w:r>
      <w:r>
        <w:rPr>
          <w:rFonts w:hint="default" w:ascii="Times New Roman Regular" w:hAnsi="Times New Roman Regular" w:eastAsia="宋体" w:cs="Times New Roman Regular"/>
          <w:sz w:val="24"/>
          <w:szCs w:val="24"/>
          <w:lang w:val="en-US" w:eastAsia="zh-CN"/>
        </w:rPr>
        <w:t>，建立了</w:t>
      </w:r>
      <w:r>
        <w:rPr>
          <w:rFonts w:hint="eastAsia" w:ascii="Times New Roman Regular" w:hAnsi="Times New Roman Regular" w:eastAsia="宋体" w:cs="Times New Roman Regular"/>
          <w:sz w:val="24"/>
          <w:szCs w:val="24"/>
          <w:lang w:eastAsia="zh-CN"/>
        </w:rPr>
        <w:t>树脂锚固剂</w:t>
      </w:r>
      <w:r>
        <w:rPr>
          <w:rFonts w:hint="default" w:ascii="Times New Roman Regular" w:hAnsi="Times New Roman Regular" w:eastAsia="宋体" w:cs="Times New Roman Regular"/>
          <w:sz w:val="24"/>
          <w:szCs w:val="24"/>
          <w:lang w:val="en-US" w:eastAsia="zh-CN"/>
        </w:rPr>
        <w:t>的LCA模型，以</w:t>
      </w:r>
      <w:r>
        <w:rPr>
          <w:rFonts w:hint="eastAsia" w:ascii="Times New Roman Regular" w:hAnsi="Times New Roman Regular" w:eastAsia="宋体" w:cs="Times New Roman Regular"/>
          <w:sz w:val="24"/>
          <w:szCs w:val="24"/>
          <w:lang w:val="en-US" w:eastAsia="zh-CN"/>
        </w:rPr>
        <w:t>件</w:t>
      </w:r>
      <w:r>
        <w:rPr>
          <w:rFonts w:hint="default" w:ascii="Times New Roman Regular" w:hAnsi="Times New Roman Regular" w:eastAsia="宋体" w:cs="Times New Roman Regular"/>
          <w:sz w:val="24"/>
          <w:szCs w:val="24"/>
          <w:lang w:val="en-US" w:eastAsia="zh-CN"/>
        </w:rPr>
        <w:t>为声明单位，收集了相关信息，</w:t>
      </w:r>
      <w:r>
        <w:rPr>
          <w:rFonts w:hint="default" w:ascii="Times New Roman Regular" w:hAnsi="Times New Roman Regular" w:eastAsia="宋体" w:cs="Times New Roman Regular"/>
          <w:sz w:val="24"/>
          <w:szCs w:val="24"/>
        </w:rPr>
        <w:t>对生命周期各阶段的活动水平数据和排放因子数据汇总计算，得到1</w:t>
      </w:r>
      <w:r>
        <w:rPr>
          <w:rFonts w:hint="eastAsia" w:ascii="Times New Roman Regular" w:hAnsi="Times New Roman Regular" w:eastAsia="宋体" w:cs="Times New Roman Regular"/>
          <w:sz w:val="24"/>
          <w:szCs w:val="24"/>
          <w:lang w:val="en-US" w:eastAsia="zh-CN"/>
        </w:rPr>
        <w:t>吨</w:t>
      </w:r>
      <w:r>
        <w:rPr>
          <w:rFonts w:hint="default" w:ascii="Times New Roman Regular" w:hAnsi="Times New Roman Regular" w:eastAsia="宋体" w:cs="Times New Roman Regular"/>
          <w:sz w:val="24"/>
          <w:szCs w:val="24"/>
        </w:rPr>
        <w:t>的</w:t>
      </w:r>
      <w:r>
        <w:rPr>
          <w:rFonts w:hint="eastAsia" w:ascii="Times New Roman Regular" w:hAnsi="Times New Roman Regular" w:eastAsia="宋体" w:cs="Times New Roman Regular"/>
          <w:sz w:val="24"/>
          <w:szCs w:val="24"/>
          <w:lang w:eastAsia="zh-CN"/>
        </w:rPr>
        <w:t>树脂锚固剂</w:t>
      </w:r>
      <w:r>
        <w:rPr>
          <w:rFonts w:hint="default" w:ascii="Times New Roman Regular" w:hAnsi="Times New Roman Regular" w:eastAsia="宋体" w:cs="Times New Roman Regular"/>
          <w:sz w:val="24"/>
          <w:szCs w:val="24"/>
        </w:rPr>
        <w:t>产品的碳足迹为</w:t>
      </w:r>
      <w:r>
        <w:rPr>
          <w:rFonts w:hint="eastAsia" w:ascii="Times New Roman Regular" w:hAnsi="Times New Roman Regular" w:eastAsia="宋体" w:cs="Times New Roman Regular"/>
          <w:sz w:val="24"/>
          <w:szCs w:val="24"/>
          <w:lang w:val="en-US" w:eastAsia="zh-CN"/>
        </w:rPr>
        <w:t>1047.29kg</w:t>
      </w:r>
      <w:r>
        <w:rPr>
          <w:rFonts w:hint="default" w:ascii="Times New Roman Regular" w:hAnsi="Times New Roman Regular" w:eastAsia="宋体" w:cs="Times New Roman Regular"/>
          <w:sz w:val="24"/>
          <w:szCs w:val="24"/>
        </w:rPr>
        <w:t>CO</w:t>
      </w:r>
      <w:r>
        <w:rPr>
          <w:rFonts w:hint="default" w:ascii="Times New Roman Regular" w:hAnsi="Times New Roman Regular" w:eastAsia="宋体" w:cs="Times New Roman Regular"/>
          <w:sz w:val="24"/>
          <w:szCs w:val="24"/>
          <w:vertAlign w:val="subscript"/>
        </w:rPr>
        <w:t>2</w:t>
      </w:r>
      <w:r>
        <w:rPr>
          <w:rFonts w:hint="default" w:ascii="Times New Roman Regular" w:hAnsi="Times New Roman Regular" w:eastAsia="宋体" w:cs="Times New Roman Regular"/>
          <w:sz w:val="24"/>
          <w:szCs w:val="24"/>
        </w:rPr>
        <w:t>e,具体结果如下：</w:t>
      </w:r>
    </w:p>
    <w:p w14:paraId="403ADD56">
      <w:pPr>
        <w:pStyle w:val="12"/>
        <w:spacing w:line="360" w:lineRule="auto"/>
        <w:jc w:val="center"/>
        <w:rPr>
          <w:rFonts w:hint="eastAsia" w:ascii="Times New Roman" w:hAnsi="Times New Roman" w:eastAsia="宋体" w:cs="宋体"/>
          <w:i w:val="0"/>
          <w:iCs w:val="0"/>
          <w:color w:val="auto"/>
          <w:sz w:val="21"/>
        </w:rPr>
      </w:pPr>
      <w:r>
        <w:rPr>
          <w:rFonts w:hint="eastAsia" w:ascii="Times New Roman" w:hAnsi="Times New Roman" w:eastAsia="宋体" w:cs="宋体"/>
          <w:i w:val="0"/>
          <w:iCs w:val="0"/>
          <w:color w:val="auto"/>
          <w:sz w:val="21"/>
        </w:rPr>
        <w:t>表5</w:t>
      </w:r>
      <w:r>
        <w:rPr>
          <w:rFonts w:hint="default" w:ascii="Times New Roman" w:hAnsi="Times New Roman" w:eastAsia="宋体" w:cs="宋体"/>
          <w:i w:val="0"/>
          <w:iCs w:val="0"/>
          <w:color w:val="auto"/>
          <w:sz w:val="21"/>
          <w:lang w:val="en-US"/>
        </w:rPr>
        <w:t>-</w:t>
      </w:r>
      <w:r>
        <w:rPr>
          <w:rFonts w:hint="eastAsia" w:ascii="Times New Roman" w:hAnsi="Times New Roman" w:eastAsia="宋体" w:cs="宋体"/>
          <w:i w:val="0"/>
          <w:iCs w:val="0"/>
          <w:color w:val="auto"/>
          <w:sz w:val="21"/>
        </w:rPr>
        <w:t>1 产品碳足迹结果计算</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4"/>
        <w:gridCol w:w="1925"/>
        <w:gridCol w:w="1925"/>
        <w:gridCol w:w="1925"/>
      </w:tblGrid>
      <w:tr w14:paraId="4498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pct"/>
            <w:vAlign w:val="center"/>
          </w:tcPr>
          <w:p w14:paraId="631E8050">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生命周期阶段</w:t>
            </w:r>
          </w:p>
        </w:tc>
        <w:tc>
          <w:tcPr>
            <w:tcW w:w="1129" w:type="pct"/>
            <w:vAlign w:val="center"/>
          </w:tcPr>
          <w:p w14:paraId="242D7121">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eastAsia="zh-CN"/>
              </w:rPr>
            </w:pPr>
            <w:r>
              <w:rPr>
                <w:rFonts w:hint="default" w:ascii="Times New Roman Regular" w:hAnsi="Times New Roman Regular" w:eastAsia="宋体" w:cs="Times New Roman Regular"/>
                <w:szCs w:val="21"/>
              </w:rPr>
              <w:t>原材料</w:t>
            </w:r>
            <w:r>
              <w:rPr>
                <w:rFonts w:hint="default" w:ascii="Times New Roman Regular" w:hAnsi="Times New Roman Regular" w:eastAsia="宋体" w:cs="Times New Roman Regular"/>
                <w:szCs w:val="21"/>
                <w:lang w:val="en-US" w:eastAsia="zh-CN"/>
              </w:rPr>
              <w:t>获取</w:t>
            </w:r>
          </w:p>
        </w:tc>
        <w:tc>
          <w:tcPr>
            <w:tcW w:w="1129" w:type="pct"/>
            <w:vAlign w:val="center"/>
          </w:tcPr>
          <w:p w14:paraId="6DAF0D27">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eastAsia="zh-CN"/>
              </w:rPr>
            </w:pPr>
            <w:r>
              <w:rPr>
                <w:rFonts w:hint="default" w:ascii="Times New Roman Regular" w:hAnsi="Times New Roman Regular" w:eastAsia="宋体" w:cs="Times New Roman Regular"/>
                <w:szCs w:val="21"/>
                <w:lang w:val="en-US" w:eastAsia="zh-CN"/>
              </w:rPr>
              <w:t>生产加工</w:t>
            </w:r>
          </w:p>
        </w:tc>
        <w:tc>
          <w:tcPr>
            <w:tcW w:w="1129" w:type="pct"/>
            <w:vAlign w:val="center"/>
          </w:tcPr>
          <w:p w14:paraId="0E8FFAE3">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合计</w:t>
            </w:r>
          </w:p>
        </w:tc>
      </w:tr>
      <w:tr w14:paraId="6C38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pct"/>
            <w:vAlign w:val="center"/>
          </w:tcPr>
          <w:p w14:paraId="55569884">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rPr>
            </w:pPr>
            <w:r>
              <w:rPr>
                <w:rFonts w:hint="default" w:ascii="Times New Roman Regular" w:hAnsi="Times New Roman Regular" w:eastAsia="宋体" w:cs="Times New Roman Regular"/>
                <w:szCs w:val="21"/>
                <w:lang w:val="en-US"/>
              </w:rPr>
              <w:t>排放量</w:t>
            </w:r>
          </w:p>
          <w:p w14:paraId="2B77CE25">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rPr>
            </w:pPr>
            <w:r>
              <w:rPr>
                <w:rFonts w:hint="default" w:ascii="Times New Roman Regular" w:hAnsi="Times New Roman Regular" w:eastAsia="宋体" w:cs="Times New Roman Regular"/>
                <w:szCs w:val="21"/>
                <w:lang w:val="en-US"/>
              </w:rPr>
              <w:t>（kgCO2e）</w:t>
            </w:r>
          </w:p>
        </w:tc>
        <w:tc>
          <w:tcPr>
            <w:tcW w:w="1129" w:type="pct"/>
            <w:vAlign w:val="center"/>
          </w:tcPr>
          <w:p w14:paraId="2E2C38F6">
            <w:pPr>
              <w:keepNext w:val="0"/>
              <w:keepLines w:val="0"/>
              <w:suppressLineNumbers w:val="0"/>
              <w:spacing w:before="0" w:beforeAutospacing="0" w:after="0" w:afterAutospacing="0" w:line="360" w:lineRule="auto"/>
              <w:ind w:left="0" w:right="0"/>
              <w:jc w:val="center"/>
              <w:rPr>
                <w:rFonts w:hint="eastAsia" w:ascii="Times New Roman Regular" w:hAnsi="Times New Roman Regular" w:eastAsia="宋体" w:cs="Times New Roman Regular"/>
                <w:szCs w:val="21"/>
                <w:lang w:val="en-US" w:eastAsia="zh-CN"/>
              </w:rPr>
            </w:pPr>
            <w:r>
              <w:rPr>
                <w:rFonts w:hint="default" w:ascii="Times New Roman Regular" w:hAnsi="Times New Roman Regular" w:eastAsia="宋体" w:cs="Times New Roman Regular"/>
                <w:szCs w:val="21"/>
                <w:lang w:val="en-US"/>
              </w:rPr>
              <w:t>961.9</w:t>
            </w:r>
            <w:r>
              <w:rPr>
                <w:rFonts w:hint="eastAsia" w:ascii="Times New Roman Regular" w:hAnsi="Times New Roman Regular" w:eastAsia="宋体" w:cs="Times New Roman Regular"/>
                <w:szCs w:val="21"/>
                <w:lang w:val="en-US" w:eastAsia="zh-CN"/>
              </w:rPr>
              <w:t>6</w:t>
            </w:r>
          </w:p>
        </w:tc>
        <w:tc>
          <w:tcPr>
            <w:tcW w:w="1129" w:type="pct"/>
            <w:vAlign w:val="center"/>
          </w:tcPr>
          <w:p w14:paraId="2174EDDF">
            <w:pPr>
              <w:keepNext w:val="0"/>
              <w:keepLines w:val="0"/>
              <w:suppressLineNumbers w:val="0"/>
              <w:spacing w:before="0" w:beforeAutospacing="0" w:after="0" w:afterAutospacing="0" w:line="360" w:lineRule="auto"/>
              <w:ind w:left="0" w:right="0"/>
              <w:jc w:val="center"/>
              <w:rPr>
                <w:rFonts w:hint="eastAsia" w:ascii="Times New Roman Regular" w:hAnsi="Times New Roman Regular" w:eastAsia="宋体" w:cs="Times New Roman Regular"/>
                <w:szCs w:val="21"/>
                <w:lang w:val="en-US" w:eastAsia="zh-CN"/>
              </w:rPr>
            </w:pPr>
            <w:r>
              <w:rPr>
                <w:rFonts w:hint="default" w:ascii="Times New Roman Regular" w:hAnsi="Times New Roman Regular" w:eastAsia="宋体" w:cs="Times New Roman Regular"/>
                <w:szCs w:val="21"/>
                <w:lang w:val="en-US"/>
              </w:rPr>
              <w:t>85.3</w:t>
            </w:r>
            <w:r>
              <w:rPr>
                <w:rFonts w:hint="eastAsia" w:ascii="Times New Roman Regular" w:hAnsi="Times New Roman Regular" w:eastAsia="宋体" w:cs="Times New Roman Regular"/>
                <w:szCs w:val="21"/>
                <w:lang w:val="en-US" w:eastAsia="zh-CN"/>
              </w:rPr>
              <w:t>1</w:t>
            </w:r>
          </w:p>
        </w:tc>
        <w:tc>
          <w:tcPr>
            <w:tcW w:w="1129" w:type="pct"/>
            <w:vAlign w:val="center"/>
          </w:tcPr>
          <w:p w14:paraId="69CCADE4">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eastAsia="zh-CN"/>
              </w:rPr>
            </w:pPr>
            <w:r>
              <w:rPr>
                <w:rFonts w:hint="eastAsia" w:ascii="Times New Roman Regular" w:hAnsi="Times New Roman Regular" w:eastAsia="宋体" w:cs="Times New Roman Regular"/>
                <w:szCs w:val="21"/>
                <w:lang w:val="en-US" w:eastAsia="zh-CN"/>
              </w:rPr>
              <w:t>1047.28</w:t>
            </w:r>
          </w:p>
        </w:tc>
      </w:tr>
    </w:tbl>
    <w:p w14:paraId="7F427743">
      <w:pPr>
        <w:pStyle w:val="17"/>
        <w:rPr>
          <w:rFonts w:hint="eastAsia"/>
        </w:rPr>
      </w:pPr>
    </w:p>
    <w:p w14:paraId="39BC9843">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bookmarkStart w:id="22" w:name="_Toc3706"/>
      <w:r>
        <w:rPr>
          <w:rFonts w:hint="eastAsia" w:ascii="Times New Roman" w:hAnsi="Times New Roman" w:eastAsia="宋体"/>
          <w:b/>
          <w:bCs/>
          <w:color w:val="auto"/>
          <w:sz w:val="32"/>
          <w:szCs w:val="32"/>
        </w:rPr>
        <w:t>结果解释</w:t>
      </w:r>
      <w:bookmarkEnd w:id="22"/>
    </w:p>
    <w:p w14:paraId="132A0DCC">
      <w:pPr>
        <w:pStyle w:val="3"/>
        <w:keepNext w:val="0"/>
        <w:keepLines w:val="0"/>
        <w:numPr>
          <w:ilvl w:val="0"/>
          <w:numId w:val="8"/>
        </w:numPr>
        <w:spacing w:before="80" w:line="360" w:lineRule="auto"/>
        <w:rPr>
          <w:rFonts w:ascii="Times New Roman" w:hAnsi="Times New Roman" w:eastAsia="宋体"/>
          <w:b/>
          <w:bCs/>
          <w:color w:val="auto"/>
          <w:sz w:val="28"/>
          <w:szCs w:val="28"/>
        </w:rPr>
      </w:pPr>
      <w:bookmarkStart w:id="23" w:name="_Toc25878"/>
      <w:r>
        <w:rPr>
          <w:rFonts w:hint="eastAsia" w:ascii="Times New Roman" w:hAnsi="Times New Roman" w:eastAsia="宋体"/>
          <w:b/>
          <w:bCs/>
          <w:color w:val="auto"/>
          <w:sz w:val="28"/>
          <w:szCs w:val="28"/>
        </w:rPr>
        <w:t>结果说明</w:t>
      </w:r>
      <w:bookmarkEnd w:id="23"/>
    </w:p>
    <w:p w14:paraId="4983022C">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i w:val="0"/>
          <w:iCs w:val="0"/>
          <w:color w:val="auto"/>
          <w:sz w:val="24"/>
          <w:szCs w:val="28"/>
          <w:lang w:val="en-US" w:eastAsia="zh-CN"/>
        </w:rPr>
        <w:t>美亚高新材料股份有限公司</w:t>
      </w:r>
      <w:r>
        <w:rPr>
          <w:rFonts w:hint="eastAsia" w:ascii="Times New Roman" w:hAnsi="Times New Roman" w:eastAsia="宋体"/>
          <w:sz w:val="24"/>
          <w:szCs w:val="28"/>
        </w:rPr>
        <w:t>生产的1</w:t>
      </w:r>
      <w:r>
        <w:rPr>
          <w:rFonts w:hint="eastAsia" w:ascii="Times New Roman" w:hAnsi="Times New Roman" w:eastAsia="宋体"/>
          <w:sz w:val="24"/>
          <w:szCs w:val="28"/>
          <w:lang w:val="en-US" w:eastAsia="zh-CN"/>
        </w:rPr>
        <w:t>吨</w:t>
      </w:r>
      <w:r>
        <w:rPr>
          <w:rFonts w:hint="eastAsia" w:ascii="Times New Roman" w:hAnsi="Times New Roman" w:eastAsia="宋体"/>
          <w:sz w:val="24"/>
          <w:szCs w:val="28"/>
          <w:lang w:eastAsia="zh-CN"/>
        </w:rPr>
        <w:t>树脂锚固剂</w:t>
      </w:r>
      <w:r>
        <w:rPr>
          <w:rFonts w:hint="eastAsia" w:ascii="Times New Roman" w:hAnsi="Times New Roman" w:eastAsia="宋体"/>
          <w:sz w:val="24"/>
          <w:szCs w:val="28"/>
        </w:rPr>
        <w:t>，从</w:t>
      </w:r>
      <w:r>
        <w:rPr>
          <w:rFonts w:hint="eastAsia" w:ascii="Times New Roman" w:hAnsi="Times New Roman" w:eastAsia="宋体"/>
          <w:i w:val="0"/>
          <w:iCs w:val="0"/>
          <w:color w:val="auto"/>
          <w:sz w:val="24"/>
          <w:szCs w:val="28"/>
          <w:lang w:val="en-US" w:eastAsia="zh-CN"/>
        </w:rPr>
        <w:t>原材料获取阶段</w:t>
      </w:r>
      <w:r>
        <w:rPr>
          <w:rFonts w:hint="eastAsia" w:ascii="Times New Roman" w:hAnsi="Times New Roman" w:eastAsia="宋体"/>
          <w:i w:val="0"/>
          <w:iCs w:val="0"/>
          <w:color w:val="auto"/>
          <w:sz w:val="24"/>
          <w:szCs w:val="28"/>
        </w:rPr>
        <w:t>到</w:t>
      </w:r>
      <w:r>
        <w:rPr>
          <w:rFonts w:hint="eastAsia" w:ascii="Times New Roman" w:hAnsi="Times New Roman" w:eastAsia="宋体"/>
          <w:i w:val="0"/>
          <w:iCs w:val="0"/>
          <w:color w:val="auto"/>
          <w:sz w:val="24"/>
          <w:szCs w:val="28"/>
          <w:lang w:val="en-US" w:eastAsia="zh-CN"/>
        </w:rPr>
        <w:t>生产阶段</w:t>
      </w:r>
      <w:r>
        <w:rPr>
          <w:rFonts w:hint="eastAsia" w:ascii="Times New Roman" w:hAnsi="Times New Roman" w:eastAsia="宋体"/>
          <w:sz w:val="24"/>
          <w:szCs w:val="28"/>
        </w:rPr>
        <w:t>系统边界的碳足迹为</w:t>
      </w:r>
      <w:r>
        <w:rPr>
          <w:rFonts w:hint="eastAsia" w:ascii="Times New Roman" w:hAnsi="Times New Roman" w:eastAsia="宋体"/>
          <w:sz w:val="24"/>
          <w:szCs w:val="28"/>
          <w:lang w:val="en-US" w:eastAsia="zh-CN"/>
        </w:rPr>
        <w:t>1047.29</w:t>
      </w:r>
      <w:r>
        <w:rPr>
          <w:rFonts w:hint="eastAsia" w:ascii="Times New Roman" w:hAnsi="Times New Roman" w:eastAsia="宋体"/>
          <w:sz w:val="24"/>
          <w:szCs w:val="28"/>
        </w:rPr>
        <w:t xml:space="preserve"> </w:t>
      </w:r>
      <w:r>
        <w:rPr>
          <w:rFonts w:hint="eastAsia" w:ascii="Times New Roman" w:hAnsi="Times New Roman" w:eastAsia="宋体"/>
          <w:sz w:val="24"/>
          <w:szCs w:val="28"/>
          <w:lang w:val="en-US" w:eastAsia="zh-CN"/>
        </w:rPr>
        <w:t>k</w:t>
      </w:r>
      <w:r>
        <w:rPr>
          <w:rFonts w:hint="eastAsia" w:ascii="Times New Roman" w:hAnsi="Times New Roman" w:eastAsia="宋体"/>
          <w:sz w:val="24"/>
          <w:szCs w:val="28"/>
        </w:rPr>
        <w:t>gCO</w:t>
      </w:r>
      <w:r>
        <w:rPr>
          <w:rFonts w:hint="eastAsia" w:ascii="Times New Roman" w:hAnsi="Times New Roman" w:eastAsia="宋体"/>
          <w:sz w:val="24"/>
          <w:szCs w:val="28"/>
          <w:vertAlign w:val="subscript"/>
        </w:rPr>
        <w:t>2</w:t>
      </w:r>
      <w:r>
        <w:rPr>
          <w:rFonts w:hint="eastAsia" w:ascii="Times New Roman" w:hAnsi="Times New Roman" w:eastAsia="宋体"/>
          <w:sz w:val="24"/>
          <w:szCs w:val="28"/>
        </w:rPr>
        <w:t>e。</w:t>
      </w:r>
    </w:p>
    <w:p w14:paraId="1C213DF2">
      <w:pPr>
        <w:spacing w:line="360" w:lineRule="auto"/>
        <w:ind w:firstLine="480" w:firstLineChars="200"/>
        <w:rPr>
          <w:rFonts w:hint="eastAsia" w:ascii="Times New Roman" w:hAnsi="Times New Roman" w:eastAsia="宋体"/>
          <w:sz w:val="24"/>
          <w:szCs w:val="28"/>
          <w:lang w:val="en-US" w:eastAsia="zh-CN"/>
        </w:rPr>
      </w:pPr>
      <w:r>
        <w:rPr>
          <w:rFonts w:hint="eastAsia" w:ascii="Times New Roman" w:hAnsi="Times New Roman" w:eastAsia="宋体"/>
          <w:i w:val="0"/>
          <w:iCs w:val="0"/>
          <w:color w:val="auto"/>
          <w:sz w:val="24"/>
          <w:szCs w:val="28"/>
          <w:lang w:val="en-US" w:eastAsia="zh-CN"/>
        </w:rPr>
        <w:t>原料获取和生产</w:t>
      </w:r>
      <w:r>
        <w:rPr>
          <w:rFonts w:hint="eastAsia" w:ascii="Times New Roman" w:hAnsi="Times New Roman" w:eastAsia="宋体"/>
          <w:sz w:val="24"/>
          <w:szCs w:val="28"/>
          <w:lang w:val="en-US" w:eastAsia="zh-CN"/>
        </w:rPr>
        <w:t>阶段活动数据明细如表6-1。</w:t>
      </w:r>
    </w:p>
    <w:p w14:paraId="643673A7">
      <w:pPr>
        <w:spacing w:line="360" w:lineRule="auto"/>
        <w:jc w:val="center"/>
        <w:rPr>
          <w:rFonts w:hint="eastAsia" w:ascii="Times New Roman" w:hAnsi="Times New Roman" w:eastAsia="宋体"/>
          <w:lang w:val="en-US" w:eastAsia="zh-CN"/>
        </w:rPr>
      </w:pPr>
      <w:r>
        <w:rPr>
          <w:rFonts w:hint="eastAsia" w:ascii="Times New Roman" w:hAnsi="Times New Roman" w:eastAsia="宋体"/>
        </w:rPr>
        <w:t>表6-1 原料获取和生产</w:t>
      </w:r>
      <w:r>
        <w:rPr>
          <w:rFonts w:hint="eastAsia" w:ascii="Times New Roman" w:hAnsi="Times New Roman" w:eastAsia="宋体"/>
          <w:lang w:val="en-US" w:eastAsia="zh-CN"/>
        </w:rPr>
        <w:t>阶段活动数据明细</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2575"/>
        <w:gridCol w:w="2051"/>
        <w:gridCol w:w="2051"/>
      </w:tblGrid>
      <w:tr w14:paraId="2B66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82" w:type="pct"/>
            <w:vAlign w:val="center"/>
          </w:tcPr>
          <w:p w14:paraId="09083987">
            <w:pPr>
              <w:spacing w:line="276" w:lineRule="auto"/>
              <w:jc w:val="center"/>
              <w:rPr>
                <w:rFonts w:ascii="Times New Roman" w:hAnsi="Times New Roman" w:eastAsia="宋体"/>
                <w:b/>
                <w:bCs/>
              </w:rPr>
            </w:pPr>
            <w:r>
              <w:rPr>
                <w:rFonts w:hint="eastAsia" w:ascii="Times New Roman" w:hAnsi="Times New Roman" w:eastAsia="宋体"/>
                <w:b/>
                <w:bCs/>
              </w:rPr>
              <w:t>生命周期阶段</w:t>
            </w:r>
          </w:p>
        </w:tc>
        <w:tc>
          <w:tcPr>
            <w:tcW w:w="1510" w:type="pct"/>
            <w:vAlign w:val="center"/>
          </w:tcPr>
          <w:p w14:paraId="2062CBC2">
            <w:pPr>
              <w:spacing w:line="276" w:lineRule="auto"/>
              <w:jc w:val="center"/>
              <w:rPr>
                <w:rFonts w:ascii="Times New Roman" w:hAnsi="Times New Roman" w:eastAsia="宋体"/>
                <w:b/>
                <w:bCs/>
              </w:rPr>
            </w:pPr>
            <w:r>
              <w:rPr>
                <w:rFonts w:hint="eastAsia" w:ascii="Times New Roman" w:hAnsi="Times New Roman" w:eastAsia="宋体"/>
                <w:b/>
                <w:bCs/>
              </w:rPr>
              <w:t>项目</w:t>
            </w:r>
          </w:p>
        </w:tc>
        <w:tc>
          <w:tcPr>
            <w:tcW w:w="1203" w:type="pct"/>
            <w:vAlign w:val="center"/>
          </w:tcPr>
          <w:p w14:paraId="229A2D47">
            <w:pPr>
              <w:spacing w:line="276" w:lineRule="auto"/>
              <w:jc w:val="center"/>
              <w:rPr>
                <w:rFonts w:ascii="Times New Roman" w:hAnsi="Times New Roman" w:eastAsia="宋体"/>
                <w:b/>
                <w:bCs/>
              </w:rPr>
            </w:pPr>
            <w:r>
              <w:rPr>
                <w:rFonts w:hint="eastAsia" w:ascii="Times New Roman" w:hAnsi="Times New Roman" w:eastAsia="宋体"/>
                <w:b/>
                <w:bCs/>
              </w:rPr>
              <w:t>活动数据</w:t>
            </w:r>
          </w:p>
        </w:tc>
        <w:tc>
          <w:tcPr>
            <w:tcW w:w="1203" w:type="pct"/>
            <w:vAlign w:val="center"/>
          </w:tcPr>
          <w:p w14:paraId="1002E849">
            <w:pPr>
              <w:spacing w:line="276" w:lineRule="auto"/>
              <w:jc w:val="center"/>
              <w:rPr>
                <w:rFonts w:ascii="Times New Roman" w:hAnsi="Times New Roman" w:eastAsia="宋体"/>
                <w:b/>
                <w:bCs/>
              </w:rPr>
            </w:pPr>
            <w:r>
              <w:rPr>
                <w:rFonts w:hint="eastAsia" w:ascii="Times New Roman" w:hAnsi="Times New Roman" w:eastAsia="宋体"/>
                <w:b/>
                <w:bCs/>
              </w:rPr>
              <w:t>计量单位</w:t>
            </w:r>
          </w:p>
        </w:tc>
      </w:tr>
      <w:tr w14:paraId="26E1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vMerge w:val="restart"/>
            <w:vAlign w:val="center"/>
          </w:tcPr>
          <w:p w14:paraId="0CD0B3B2">
            <w:pPr>
              <w:spacing w:line="276" w:lineRule="auto"/>
              <w:jc w:val="center"/>
              <w:rPr>
                <w:rFonts w:ascii="Times New Roman" w:hAnsi="Times New Roman" w:eastAsia="宋体"/>
              </w:rPr>
            </w:pPr>
            <w:r>
              <w:rPr>
                <w:rFonts w:hint="eastAsia" w:ascii="Times New Roman" w:hAnsi="Times New Roman" w:eastAsia="宋体"/>
              </w:rPr>
              <w:t>原材料获取</w:t>
            </w:r>
          </w:p>
        </w:tc>
        <w:tc>
          <w:tcPr>
            <w:tcW w:w="1510" w:type="pct"/>
            <w:vAlign w:val="center"/>
          </w:tcPr>
          <w:p w14:paraId="566F54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树脂</w:t>
            </w:r>
          </w:p>
        </w:tc>
        <w:tc>
          <w:tcPr>
            <w:tcW w:w="1203" w:type="pct"/>
            <w:vAlign w:val="center"/>
          </w:tcPr>
          <w:p w14:paraId="705C364D">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200.2</w:t>
            </w:r>
          </w:p>
        </w:tc>
        <w:tc>
          <w:tcPr>
            <w:tcW w:w="1203" w:type="pct"/>
            <w:vAlign w:val="center"/>
          </w:tcPr>
          <w:p w14:paraId="456AB90C">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r>
      <w:tr w14:paraId="51DC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vMerge w:val="continue"/>
            <w:vAlign w:val="center"/>
          </w:tcPr>
          <w:p w14:paraId="05FF5F22">
            <w:pPr>
              <w:spacing w:line="276" w:lineRule="auto"/>
              <w:jc w:val="center"/>
              <w:rPr>
                <w:rFonts w:ascii="Times New Roman" w:hAnsi="Times New Roman" w:eastAsia="宋体"/>
              </w:rPr>
            </w:pPr>
          </w:p>
        </w:tc>
        <w:tc>
          <w:tcPr>
            <w:tcW w:w="1510" w:type="pct"/>
            <w:vAlign w:val="center"/>
          </w:tcPr>
          <w:p w14:paraId="370247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石粉</w:t>
            </w:r>
          </w:p>
        </w:tc>
        <w:tc>
          <w:tcPr>
            <w:tcW w:w="1203" w:type="pct"/>
            <w:vAlign w:val="center"/>
          </w:tcPr>
          <w:p w14:paraId="1DC7CE12">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800.3</w:t>
            </w:r>
          </w:p>
        </w:tc>
        <w:tc>
          <w:tcPr>
            <w:tcW w:w="1203" w:type="pct"/>
            <w:vAlign w:val="center"/>
          </w:tcPr>
          <w:p w14:paraId="1385475D">
            <w:pPr>
              <w:spacing w:line="276" w:lineRule="auto"/>
              <w:jc w:val="center"/>
              <w:rPr>
                <w:rFonts w:hint="eastAsia"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r>
      <w:tr w14:paraId="684A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vMerge w:val="continue"/>
            <w:vAlign w:val="center"/>
          </w:tcPr>
          <w:p w14:paraId="60C4422E">
            <w:pPr>
              <w:spacing w:line="276" w:lineRule="auto"/>
              <w:jc w:val="center"/>
              <w:rPr>
                <w:rFonts w:ascii="Times New Roman" w:hAnsi="Times New Roman" w:eastAsia="宋体"/>
              </w:rPr>
            </w:pPr>
          </w:p>
        </w:tc>
        <w:tc>
          <w:tcPr>
            <w:tcW w:w="1510" w:type="pct"/>
            <w:vAlign w:val="center"/>
          </w:tcPr>
          <w:p w14:paraId="28CD34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塑料</w:t>
            </w:r>
          </w:p>
        </w:tc>
        <w:tc>
          <w:tcPr>
            <w:tcW w:w="1203" w:type="pct"/>
            <w:vAlign w:val="center"/>
          </w:tcPr>
          <w:p w14:paraId="101B2D05">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0.75</w:t>
            </w:r>
          </w:p>
        </w:tc>
        <w:tc>
          <w:tcPr>
            <w:tcW w:w="1203" w:type="pct"/>
            <w:vAlign w:val="center"/>
          </w:tcPr>
          <w:p w14:paraId="671ABFCC">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r>
      <w:tr w14:paraId="12D2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vMerge w:val="continue"/>
            <w:vAlign w:val="center"/>
          </w:tcPr>
          <w:p w14:paraId="0B48DEF3">
            <w:pPr>
              <w:spacing w:line="276" w:lineRule="auto"/>
              <w:jc w:val="center"/>
              <w:rPr>
                <w:rFonts w:ascii="Times New Roman" w:hAnsi="Times New Roman" w:eastAsia="宋体"/>
              </w:rPr>
            </w:pPr>
          </w:p>
        </w:tc>
        <w:tc>
          <w:tcPr>
            <w:tcW w:w="1510" w:type="pct"/>
            <w:vAlign w:val="center"/>
          </w:tcPr>
          <w:p w14:paraId="14F7E221">
            <w:pPr>
              <w:keepNext w:val="0"/>
              <w:keepLines w:val="0"/>
              <w:widowControl/>
              <w:suppressLineNumbers w:val="0"/>
              <w:jc w:val="center"/>
              <w:textAlignment w:val="center"/>
              <w:rPr>
                <w:rFonts w:hint="eastAsia" w:ascii="Times New Roman" w:hAnsi="Times New Roman" w:eastAsia="宋体"/>
                <w:szCs w:val="21"/>
              </w:rPr>
            </w:pPr>
            <w:r>
              <w:rPr>
                <w:rFonts w:hint="eastAsia" w:ascii="宋体" w:hAnsi="宋体" w:eastAsia="宋体" w:cs="宋体"/>
                <w:i w:val="0"/>
                <w:iCs w:val="0"/>
                <w:color w:val="000000"/>
                <w:kern w:val="0"/>
                <w:sz w:val="22"/>
                <w:szCs w:val="22"/>
                <w:u w:val="none"/>
                <w:lang w:val="en-US" w:eastAsia="zh-CN" w:bidi="ar"/>
              </w:rPr>
              <w:t>纸箱</w:t>
            </w:r>
          </w:p>
        </w:tc>
        <w:tc>
          <w:tcPr>
            <w:tcW w:w="1203" w:type="pct"/>
            <w:vAlign w:val="center"/>
          </w:tcPr>
          <w:p w14:paraId="52FEB0D4">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w:t>
            </w:r>
          </w:p>
        </w:tc>
        <w:tc>
          <w:tcPr>
            <w:tcW w:w="1203" w:type="pct"/>
            <w:vAlign w:val="center"/>
          </w:tcPr>
          <w:p w14:paraId="4E973748">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r>
      <w:tr w14:paraId="546B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vMerge w:val="continue"/>
            <w:vAlign w:val="center"/>
          </w:tcPr>
          <w:p w14:paraId="33F75418">
            <w:pPr>
              <w:spacing w:line="276" w:lineRule="auto"/>
              <w:jc w:val="center"/>
              <w:rPr>
                <w:rFonts w:ascii="Times New Roman" w:hAnsi="Times New Roman" w:eastAsia="宋体"/>
              </w:rPr>
            </w:pPr>
          </w:p>
        </w:tc>
        <w:tc>
          <w:tcPr>
            <w:tcW w:w="1510" w:type="pct"/>
            <w:vAlign w:val="center"/>
          </w:tcPr>
          <w:p w14:paraId="1C2168E6">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1"/>
                <w:szCs w:val="21"/>
                <w:u w:val="none"/>
                <w:lang w:val="en-US" w:eastAsia="zh-CN" w:bidi="ar"/>
              </w:rPr>
              <w:t>原材料运输</w:t>
            </w:r>
          </w:p>
        </w:tc>
        <w:tc>
          <w:tcPr>
            <w:tcW w:w="1203" w:type="pct"/>
            <w:vAlign w:val="center"/>
          </w:tcPr>
          <w:p w14:paraId="52950CEC">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6.23</w:t>
            </w:r>
          </w:p>
        </w:tc>
        <w:tc>
          <w:tcPr>
            <w:tcW w:w="1203" w:type="pct"/>
            <w:vAlign w:val="center"/>
          </w:tcPr>
          <w:p w14:paraId="0E8286E1">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t.km</w:t>
            </w:r>
          </w:p>
        </w:tc>
      </w:tr>
      <w:tr w14:paraId="0266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2" w:type="pct"/>
            <w:vMerge w:val="restart"/>
            <w:vAlign w:val="center"/>
          </w:tcPr>
          <w:p w14:paraId="19536F75">
            <w:pPr>
              <w:spacing w:line="276" w:lineRule="auto"/>
              <w:jc w:val="center"/>
              <w:rPr>
                <w:rFonts w:ascii="Times New Roman" w:hAnsi="Times New Roman" w:eastAsia="宋体"/>
              </w:rPr>
            </w:pPr>
            <w:r>
              <w:rPr>
                <w:rFonts w:hint="eastAsia" w:ascii="Times New Roman" w:hAnsi="Times New Roman" w:eastAsia="宋体"/>
              </w:rPr>
              <w:t>生产</w:t>
            </w:r>
          </w:p>
        </w:tc>
        <w:tc>
          <w:tcPr>
            <w:tcW w:w="1510" w:type="pct"/>
            <w:vAlign w:val="center"/>
          </w:tcPr>
          <w:p w14:paraId="0F011E45">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电力</w:t>
            </w:r>
          </w:p>
        </w:tc>
        <w:tc>
          <w:tcPr>
            <w:tcW w:w="1203" w:type="pct"/>
            <w:vAlign w:val="center"/>
          </w:tcPr>
          <w:p w14:paraId="41CF970C">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89.76</w:t>
            </w:r>
          </w:p>
        </w:tc>
        <w:tc>
          <w:tcPr>
            <w:tcW w:w="1203" w:type="pct"/>
            <w:vAlign w:val="center"/>
          </w:tcPr>
          <w:p w14:paraId="20911EC9">
            <w:pPr>
              <w:spacing w:line="276" w:lineRule="auto"/>
              <w:jc w:val="center"/>
              <w:rPr>
                <w:rFonts w:hint="default"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kwh</w:t>
            </w:r>
          </w:p>
        </w:tc>
      </w:tr>
      <w:tr w14:paraId="24C6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vMerge w:val="continue"/>
            <w:vAlign w:val="center"/>
          </w:tcPr>
          <w:p w14:paraId="05E86292">
            <w:pPr>
              <w:spacing w:line="276" w:lineRule="auto"/>
              <w:jc w:val="center"/>
              <w:rPr>
                <w:rFonts w:hint="eastAsia" w:ascii="Times New Roman" w:hAnsi="Times New Roman" w:eastAsia="宋体"/>
              </w:rPr>
            </w:pPr>
          </w:p>
        </w:tc>
        <w:tc>
          <w:tcPr>
            <w:tcW w:w="1510" w:type="pct"/>
            <w:vAlign w:val="center"/>
          </w:tcPr>
          <w:p w14:paraId="12A2277C">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天然气</w:t>
            </w:r>
          </w:p>
        </w:tc>
        <w:tc>
          <w:tcPr>
            <w:tcW w:w="1203" w:type="pct"/>
            <w:vAlign w:val="center"/>
          </w:tcPr>
          <w:p w14:paraId="2D689DA1">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2.82</w:t>
            </w:r>
          </w:p>
        </w:tc>
        <w:tc>
          <w:tcPr>
            <w:tcW w:w="1203" w:type="pct"/>
            <w:vAlign w:val="center"/>
          </w:tcPr>
          <w:p w14:paraId="684D4C84">
            <w:pPr>
              <w:spacing w:line="276" w:lineRule="auto"/>
              <w:jc w:val="center"/>
              <w:rPr>
                <w:rFonts w:hint="eastAsia"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m</w:t>
            </w:r>
            <w:r>
              <w:rPr>
                <w:rFonts w:hint="eastAsia" w:ascii="Times New Roman" w:hAnsi="Times New Roman" w:eastAsia="宋体"/>
                <w:i w:val="0"/>
                <w:iCs w:val="0"/>
                <w:color w:val="auto"/>
                <w:vertAlign w:val="superscript"/>
                <w:lang w:val="en-US" w:eastAsia="zh-CN"/>
              </w:rPr>
              <w:t>3</w:t>
            </w:r>
          </w:p>
        </w:tc>
      </w:tr>
      <w:tr w14:paraId="3C91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vMerge w:val="continue"/>
            <w:vAlign w:val="center"/>
          </w:tcPr>
          <w:p w14:paraId="2BC60930">
            <w:pPr>
              <w:spacing w:line="276" w:lineRule="auto"/>
              <w:jc w:val="center"/>
              <w:rPr>
                <w:rFonts w:hint="eastAsia" w:ascii="Times New Roman" w:hAnsi="Times New Roman" w:eastAsia="宋体"/>
              </w:rPr>
            </w:pPr>
          </w:p>
        </w:tc>
        <w:tc>
          <w:tcPr>
            <w:tcW w:w="1510" w:type="pct"/>
            <w:vAlign w:val="center"/>
          </w:tcPr>
          <w:p w14:paraId="058BBEB4">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固废处理</w:t>
            </w:r>
          </w:p>
        </w:tc>
        <w:tc>
          <w:tcPr>
            <w:tcW w:w="1203" w:type="pct"/>
            <w:vAlign w:val="center"/>
          </w:tcPr>
          <w:p w14:paraId="07E0BCD5">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0.2</w:t>
            </w:r>
          </w:p>
        </w:tc>
        <w:tc>
          <w:tcPr>
            <w:tcW w:w="1203" w:type="pct"/>
            <w:vAlign w:val="center"/>
          </w:tcPr>
          <w:p w14:paraId="7EA1FF42">
            <w:pPr>
              <w:spacing w:line="276" w:lineRule="auto"/>
              <w:jc w:val="center"/>
              <w:rPr>
                <w:rFonts w:hint="eastAsia"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r>
      <w:tr w14:paraId="4227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2" w:type="pct"/>
            <w:vMerge w:val="continue"/>
            <w:vAlign w:val="center"/>
          </w:tcPr>
          <w:p w14:paraId="1067A182">
            <w:pPr>
              <w:spacing w:line="276" w:lineRule="auto"/>
              <w:jc w:val="center"/>
              <w:rPr>
                <w:rFonts w:ascii="Times New Roman" w:hAnsi="Times New Roman" w:eastAsia="宋体"/>
              </w:rPr>
            </w:pPr>
          </w:p>
        </w:tc>
        <w:tc>
          <w:tcPr>
            <w:tcW w:w="1510" w:type="pct"/>
            <w:vAlign w:val="center"/>
          </w:tcPr>
          <w:p w14:paraId="70C6DE65">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固废运输</w:t>
            </w:r>
          </w:p>
        </w:tc>
        <w:tc>
          <w:tcPr>
            <w:tcW w:w="1203" w:type="pct"/>
            <w:vAlign w:val="center"/>
          </w:tcPr>
          <w:p w14:paraId="39B1876B">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0.01</w:t>
            </w:r>
          </w:p>
        </w:tc>
        <w:tc>
          <w:tcPr>
            <w:tcW w:w="1203" w:type="pct"/>
            <w:vAlign w:val="center"/>
          </w:tcPr>
          <w:p w14:paraId="584C16BB">
            <w:pPr>
              <w:spacing w:line="276" w:lineRule="auto"/>
              <w:jc w:val="center"/>
              <w:rPr>
                <w:rFonts w:hint="default"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t.km</w:t>
            </w:r>
          </w:p>
        </w:tc>
      </w:tr>
    </w:tbl>
    <w:p w14:paraId="1454FDF2">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生命周期各阶段的温室气体排放情况如表6-</w:t>
      </w:r>
      <w:r>
        <w:rPr>
          <w:rFonts w:hint="eastAsia" w:ascii="Times New Roman" w:hAnsi="Times New Roman" w:eastAsia="宋体"/>
          <w:sz w:val="24"/>
          <w:szCs w:val="28"/>
          <w:lang w:val="en-US" w:eastAsia="zh-CN"/>
        </w:rPr>
        <w:t>2</w:t>
      </w:r>
      <w:r>
        <w:rPr>
          <w:rFonts w:hint="eastAsia" w:ascii="Times New Roman" w:hAnsi="Times New Roman" w:eastAsia="宋体"/>
          <w:sz w:val="24"/>
          <w:szCs w:val="28"/>
        </w:rPr>
        <w:t>和图6-1所示。</w:t>
      </w:r>
    </w:p>
    <w:p w14:paraId="6C27D359">
      <w:pPr>
        <w:spacing w:line="360" w:lineRule="auto"/>
        <w:jc w:val="center"/>
        <w:rPr>
          <w:rFonts w:ascii="Times New Roman" w:hAnsi="Times New Roman" w:eastAsia="宋体"/>
        </w:rPr>
      </w:pPr>
      <w:r>
        <w:rPr>
          <w:rFonts w:hint="eastAsia" w:ascii="Times New Roman" w:hAnsi="Times New Roman" w:eastAsia="宋体"/>
        </w:rPr>
        <w:t>表6-</w:t>
      </w:r>
      <w:r>
        <w:rPr>
          <w:rFonts w:hint="eastAsia" w:ascii="Times New Roman" w:hAnsi="Times New Roman" w:eastAsia="宋体"/>
          <w:lang w:val="en-US" w:eastAsia="zh-CN"/>
        </w:rPr>
        <w:t>2</w:t>
      </w:r>
      <w:r>
        <w:rPr>
          <w:rFonts w:hint="eastAsia" w:ascii="Times New Roman" w:hAnsi="Times New Roman" w:eastAsia="宋体"/>
        </w:rPr>
        <w:t xml:space="preserve"> 生命周期各阶段碳排放情况</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3827"/>
        <w:gridCol w:w="2064"/>
      </w:tblGrid>
      <w:tr w14:paraId="55D9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1A0BFCCA">
            <w:pPr>
              <w:spacing w:line="360" w:lineRule="auto"/>
              <w:jc w:val="center"/>
              <w:rPr>
                <w:rFonts w:ascii="Times New Roman" w:hAnsi="Times New Roman" w:eastAsia="宋体"/>
              </w:rPr>
            </w:pPr>
            <w:r>
              <w:rPr>
                <w:rFonts w:hint="eastAsia" w:ascii="Times New Roman" w:hAnsi="Times New Roman" w:eastAsia="宋体"/>
              </w:rPr>
              <w:t>生命周期阶段</w:t>
            </w:r>
          </w:p>
        </w:tc>
        <w:tc>
          <w:tcPr>
            <w:tcW w:w="3827" w:type="dxa"/>
            <w:vAlign w:val="center"/>
          </w:tcPr>
          <w:p w14:paraId="58ED88C1">
            <w:pPr>
              <w:spacing w:line="360" w:lineRule="auto"/>
              <w:jc w:val="center"/>
              <w:rPr>
                <w:rFonts w:ascii="Times New Roman" w:hAnsi="Times New Roman" w:eastAsia="宋体"/>
              </w:rPr>
            </w:pPr>
            <w:r>
              <w:rPr>
                <w:rFonts w:hint="eastAsia" w:ascii="Times New Roman" w:hAnsi="Times New Roman" w:eastAsia="宋体"/>
              </w:rPr>
              <w:t>碳足迹/（</w:t>
            </w:r>
            <w:r>
              <w:rPr>
                <w:rFonts w:hint="default" w:ascii="Times New Roman" w:hAnsi="Times New Roman" w:eastAsia="宋体"/>
                <w:lang w:val="en-US"/>
              </w:rPr>
              <w:t>k</w:t>
            </w:r>
            <w:r>
              <w:rPr>
                <w:rFonts w:hint="eastAsia" w:ascii="Times New Roman" w:hAnsi="Times New Roman" w:eastAsia="宋体"/>
              </w:rPr>
              <w:t>gCO</w:t>
            </w:r>
            <w:r>
              <w:rPr>
                <w:rFonts w:hint="eastAsia" w:ascii="Times New Roman" w:hAnsi="Times New Roman" w:eastAsia="宋体"/>
                <w:vertAlign w:val="subscript"/>
              </w:rPr>
              <w:t>2</w:t>
            </w:r>
            <w:r>
              <w:rPr>
                <w:rFonts w:hint="eastAsia" w:ascii="Times New Roman" w:hAnsi="Times New Roman" w:eastAsia="宋体"/>
              </w:rPr>
              <w:t>e/声明单位）</w:t>
            </w:r>
          </w:p>
        </w:tc>
        <w:tc>
          <w:tcPr>
            <w:tcW w:w="2064" w:type="dxa"/>
            <w:vAlign w:val="center"/>
          </w:tcPr>
          <w:p w14:paraId="2BA436DF">
            <w:pPr>
              <w:spacing w:line="360" w:lineRule="auto"/>
              <w:jc w:val="center"/>
              <w:rPr>
                <w:rFonts w:ascii="Times New Roman" w:hAnsi="Times New Roman" w:eastAsia="宋体"/>
              </w:rPr>
            </w:pPr>
            <w:r>
              <w:rPr>
                <w:rFonts w:hint="eastAsia" w:ascii="Times New Roman" w:hAnsi="Times New Roman" w:eastAsia="宋体"/>
              </w:rPr>
              <w:t>百分比/%</w:t>
            </w:r>
          </w:p>
        </w:tc>
      </w:tr>
      <w:tr w14:paraId="2D7A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1F70FE71">
            <w:pPr>
              <w:spacing w:line="360" w:lineRule="auto"/>
              <w:jc w:val="center"/>
              <w:rPr>
                <w:rFonts w:ascii="Times New Roman" w:hAnsi="Times New Roman" w:eastAsia="宋体"/>
              </w:rPr>
            </w:pPr>
            <w:bookmarkStart w:id="24" w:name="_Hlk190349507"/>
            <w:r>
              <w:rPr>
                <w:rFonts w:hint="eastAsia" w:ascii="Times New Roman" w:hAnsi="Times New Roman" w:eastAsia="宋体"/>
              </w:rPr>
              <w:t>原料获取阶段</w:t>
            </w:r>
            <w:bookmarkEnd w:id="24"/>
          </w:p>
        </w:tc>
        <w:tc>
          <w:tcPr>
            <w:tcW w:w="3827" w:type="dxa"/>
            <w:vAlign w:val="bottom"/>
          </w:tcPr>
          <w:p w14:paraId="4CDE097F">
            <w:pPr>
              <w:spacing w:line="360" w:lineRule="auto"/>
              <w:jc w:val="center"/>
              <w:rPr>
                <w:rFonts w:hint="eastAsia" w:ascii="Times New Roman" w:hAnsi="Times New Roman" w:eastAsia="宋体"/>
                <w:lang w:val="en-US" w:eastAsia="zh-CN"/>
              </w:rPr>
            </w:pPr>
            <w:r>
              <w:rPr>
                <w:rFonts w:hint="eastAsia" w:ascii="Times New Roman" w:hAnsi="Times New Roman" w:eastAsia="宋体"/>
                <w:lang w:val="en-US" w:eastAsia="zh-CN"/>
              </w:rPr>
              <w:t xml:space="preserve">961.96 </w:t>
            </w:r>
          </w:p>
        </w:tc>
        <w:tc>
          <w:tcPr>
            <w:tcW w:w="2064" w:type="dxa"/>
            <w:vAlign w:val="bottom"/>
          </w:tcPr>
          <w:p w14:paraId="7D1F1BCF">
            <w:pPr>
              <w:spacing w:line="360" w:lineRule="auto"/>
              <w:jc w:val="center"/>
              <w:rPr>
                <w:rFonts w:hint="default" w:ascii="Times New Roman" w:hAnsi="Times New Roman" w:eastAsia="宋体"/>
                <w:lang w:val="en-US" w:eastAsia="zh-CN"/>
              </w:rPr>
            </w:pPr>
            <w:r>
              <w:rPr>
                <w:rFonts w:hint="eastAsia" w:ascii="Times New Roman" w:hAnsi="Times New Roman" w:eastAsia="宋体"/>
                <w:lang w:val="en-US" w:eastAsia="zh-CN"/>
              </w:rPr>
              <w:t>91.85%</w:t>
            </w:r>
          </w:p>
        </w:tc>
      </w:tr>
      <w:tr w14:paraId="6B86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5A9B1787">
            <w:pPr>
              <w:spacing w:line="360" w:lineRule="auto"/>
              <w:jc w:val="center"/>
              <w:rPr>
                <w:rFonts w:ascii="Times New Roman" w:hAnsi="Times New Roman" w:eastAsia="宋体"/>
              </w:rPr>
            </w:pPr>
            <w:r>
              <w:rPr>
                <w:rFonts w:hint="eastAsia" w:ascii="Times New Roman" w:hAnsi="Times New Roman" w:eastAsia="宋体"/>
              </w:rPr>
              <w:t>生产阶段</w:t>
            </w:r>
          </w:p>
        </w:tc>
        <w:tc>
          <w:tcPr>
            <w:tcW w:w="3827" w:type="dxa"/>
            <w:vAlign w:val="bottom"/>
          </w:tcPr>
          <w:p w14:paraId="0AE28025">
            <w:pPr>
              <w:spacing w:line="360" w:lineRule="auto"/>
              <w:jc w:val="center"/>
              <w:rPr>
                <w:rFonts w:hint="eastAsia" w:ascii="Times New Roman" w:hAnsi="Times New Roman" w:eastAsia="宋体"/>
                <w:lang w:val="en-US" w:eastAsia="zh-CN"/>
              </w:rPr>
            </w:pPr>
            <w:r>
              <w:rPr>
                <w:rFonts w:hint="eastAsia" w:ascii="Times New Roman" w:hAnsi="Times New Roman" w:eastAsia="宋体"/>
                <w:lang w:val="en-US" w:eastAsia="zh-CN"/>
              </w:rPr>
              <w:t xml:space="preserve">85.31 </w:t>
            </w:r>
          </w:p>
        </w:tc>
        <w:tc>
          <w:tcPr>
            <w:tcW w:w="2064" w:type="dxa"/>
            <w:vAlign w:val="bottom"/>
          </w:tcPr>
          <w:p w14:paraId="2E5AC6B6">
            <w:pPr>
              <w:spacing w:line="360" w:lineRule="auto"/>
              <w:jc w:val="center"/>
              <w:rPr>
                <w:rFonts w:hint="default" w:ascii="Times New Roman" w:hAnsi="Times New Roman" w:eastAsia="宋体"/>
                <w:lang w:val="en-US" w:eastAsia="zh-CN"/>
              </w:rPr>
            </w:pPr>
            <w:r>
              <w:rPr>
                <w:rFonts w:hint="eastAsia" w:ascii="Times New Roman" w:hAnsi="Times New Roman" w:eastAsia="宋体"/>
                <w:lang w:val="en-US" w:eastAsia="zh-CN"/>
              </w:rPr>
              <w:t>8.15%</w:t>
            </w:r>
          </w:p>
        </w:tc>
      </w:tr>
      <w:tr w14:paraId="4583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00EFE505">
            <w:pPr>
              <w:spacing w:line="360" w:lineRule="auto"/>
              <w:jc w:val="center"/>
              <w:rPr>
                <w:rFonts w:ascii="Times New Roman" w:hAnsi="Times New Roman" w:eastAsia="宋体"/>
              </w:rPr>
            </w:pPr>
            <w:r>
              <w:rPr>
                <w:rFonts w:hint="eastAsia" w:ascii="Times New Roman" w:hAnsi="Times New Roman" w:eastAsia="宋体"/>
              </w:rPr>
              <w:t>总计</w:t>
            </w:r>
          </w:p>
        </w:tc>
        <w:tc>
          <w:tcPr>
            <w:tcW w:w="3827" w:type="dxa"/>
            <w:vAlign w:val="center"/>
          </w:tcPr>
          <w:p w14:paraId="0E31AA24">
            <w:pPr>
              <w:spacing w:line="360" w:lineRule="auto"/>
              <w:jc w:val="center"/>
              <w:rPr>
                <w:rFonts w:hint="default" w:ascii="Times New Roman" w:hAnsi="Times New Roman" w:eastAsia="宋体"/>
                <w:lang w:val="en-US" w:eastAsia="zh-CN"/>
              </w:rPr>
            </w:pPr>
            <w:r>
              <w:rPr>
                <w:rFonts w:hint="eastAsia" w:ascii="Times New Roman" w:hAnsi="Times New Roman" w:eastAsia="宋体"/>
                <w:lang w:val="en-US" w:eastAsia="zh-CN"/>
              </w:rPr>
              <w:t>1047.28</w:t>
            </w:r>
          </w:p>
        </w:tc>
        <w:tc>
          <w:tcPr>
            <w:tcW w:w="2064" w:type="dxa"/>
            <w:vAlign w:val="center"/>
          </w:tcPr>
          <w:p w14:paraId="2258D8D5">
            <w:pPr>
              <w:spacing w:line="360" w:lineRule="auto"/>
              <w:jc w:val="center"/>
              <w:rPr>
                <w:rFonts w:ascii="Times New Roman" w:hAnsi="Times New Roman" w:eastAsia="宋体"/>
              </w:rPr>
            </w:pPr>
            <w:r>
              <w:rPr>
                <w:rFonts w:hint="eastAsia" w:ascii="Times New Roman" w:hAnsi="Times New Roman" w:eastAsia="宋体"/>
              </w:rPr>
              <w:t>100%</w:t>
            </w:r>
          </w:p>
        </w:tc>
      </w:tr>
    </w:tbl>
    <w:p w14:paraId="19D07BA5">
      <w:pPr>
        <w:spacing w:line="360" w:lineRule="auto"/>
        <w:jc w:val="center"/>
        <w:rPr>
          <w:rFonts w:ascii="Times New Roman" w:hAnsi="Times New Roman" w:eastAsia="宋体"/>
        </w:rPr>
      </w:pPr>
      <w:r>
        <w:drawing>
          <wp:inline distT="0" distB="0" distL="114300" distR="114300">
            <wp:extent cx="4787900" cy="2694940"/>
            <wp:effectExtent l="0" t="0" r="12700" b="228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4787900" cy="2694940"/>
                    </a:xfrm>
                    <a:prstGeom prst="rect">
                      <a:avLst/>
                    </a:prstGeom>
                    <a:noFill/>
                    <a:ln>
                      <a:noFill/>
                    </a:ln>
                  </pic:spPr>
                </pic:pic>
              </a:graphicData>
            </a:graphic>
          </wp:inline>
        </w:drawing>
      </w:r>
    </w:p>
    <w:p w14:paraId="6E24276E">
      <w:pPr>
        <w:spacing w:line="360" w:lineRule="auto"/>
        <w:jc w:val="center"/>
        <w:rPr>
          <w:rFonts w:hint="eastAsia" w:ascii="Times New Roman" w:hAnsi="Times New Roman" w:eastAsia="宋体"/>
        </w:rPr>
      </w:pPr>
      <w:r>
        <w:rPr>
          <w:rFonts w:hint="eastAsia" w:ascii="Times New Roman" w:hAnsi="Times New Roman" w:eastAsia="宋体"/>
        </w:rPr>
        <w:t>图6-1 生命周期各阶段碳排放分布图</w:t>
      </w:r>
    </w:p>
    <w:p w14:paraId="66FD6D12">
      <w:pPr>
        <w:spacing w:line="360" w:lineRule="auto"/>
        <w:ind w:firstLine="480" w:firstLineChars="200"/>
        <w:rPr>
          <w:rFonts w:hint="eastAsia" w:ascii="Times New Roman" w:hAnsi="Times New Roman" w:eastAsia="宋体"/>
          <w:i w:val="0"/>
          <w:iCs w:val="0"/>
          <w:color w:val="auto"/>
          <w:sz w:val="24"/>
          <w:szCs w:val="28"/>
          <w:lang w:val="en-US" w:eastAsia="zh-CN"/>
        </w:rPr>
      </w:pPr>
      <w:bookmarkStart w:id="25" w:name="_Hlk190349553"/>
      <w:r>
        <w:rPr>
          <w:rFonts w:hint="eastAsia" w:ascii="Times New Roman" w:hAnsi="Times New Roman" w:eastAsia="宋体"/>
          <w:i w:val="0"/>
          <w:iCs w:val="0"/>
          <w:color w:val="auto"/>
          <w:sz w:val="24"/>
          <w:szCs w:val="28"/>
          <w:lang w:val="en-US" w:eastAsia="zh-CN"/>
        </w:rPr>
        <w:t>原料获取和生产阶段</w:t>
      </w:r>
      <w:bookmarkEnd w:id="25"/>
      <w:r>
        <w:rPr>
          <w:rFonts w:hint="eastAsia" w:ascii="Times New Roman" w:hAnsi="Times New Roman" w:eastAsia="宋体"/>
          <w:i w:val="0"/>
          <w:iCs w:val="0"/>
          <w:color w:val="auto"/>
          <w:sz w:val="24"/>
          <w:szCs w:val="28"/>
          <w:lang w:val="en-US" w:eastAsia="zh-CN"/>
        </w:rPr>
        <w:t>碳足迹明细如表6-3和图6-2所示。</w:t>
      </w:r>
    </w:p>
    <w:p w14:paraId="5D88E6E8">
      <w:pPr>
        <w:spacing w:line="360" w:lineRule="auto"/>
        <w:jc w:val="center"/>
        <w:rPr>
          <w:rFonts w:hint="eastAsia" w:ascii="Times New Roman" w:hAnsi="Times New Roman" w:eastAsia="宋体"/>
        </w:rPr>
      </w:pPr>
      <w:r>
        <w:rPr>
          <w:rFonts w:hint="eastAsia" w:ascii="Times New Roman" w:hAnsi="Times New Roman" w:eastAsia="宋体"/>
        </w:rPr>
        <w:t>表6-</w:t>
      </w:r>
      <w:r>
        <w:rPr>
          <w:rFonts w:hint="eastAsia" w:ascii="Times New Roman" w:hAnsi="Times New Roman" w:eastAsia="宋体"/>
          <w:lang w:val="en-US" w:eastAsia="zh-CN"/>
        </w:rPr>
        <w:t>3</w:t>
      </w:r>
      <w:r>
        <w:rPr>
          <w:rFonts w:hint="eastAsia" w:ascii="Times New Roman" w:hAnsi="Times New Roman" w:eastAsia="宋体"/>
        </w:rPr>
        <w:t xml:space="preserve"> 原料获取和生产阶段碳足迹明细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78"/>
        <w:gridCol w:w="2865"/>
        <w:gridCol w:w="1686"/>
      </w:tblGrid>
      <w:tr w14:paraId="7F7A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46F5DC56">
            <w:pPr>
              <w:spacing w:line="276" w:lineRule="auto"/>
              <w:jc w:val="center"/>
              <w:rPr>
                <w:rFonts w:hint="default" w:ascii="Times New Roman Regular" w:hAnsi="Times New Roman Regular" w:eastAsia="宋体" w:cs="Times New Roman Regular"/>
                <w:b/>
                <w:bCs/>
                <w:i w:val="0"/>
                <w:iCs w:val="0"/>
                <w:color w:val="000000"/>
                <w:sz w:val="21"/>
                <w:szCs w:val="21"/>
                <w:u w:val="none"/>
              </w:rPr>
            </w:pPr>
            <w:r>
              <w:rPr>
                <w:rFonts w:hint="eastAsia" w:ascii="Times New Roman" w:hAnsi="Times New Roman" w:eastAsia="宋体"/>
                <w:b/>
                <w:bCs/>
                <w:szCs w:val="21"/>
              </w:rPr>
              <w:t>活动项</w:t>
            </w:r>
          </w:p>
        </w:tc>
        <w:tc>
          <w:tcPr>
            <w:tcW w:w="2865" w:type="dxa"/>
            <w:shd w:val="clear" w:color="auto" w:fill="auto"/>
            <w:vAlign w:val="center"/>
          </w:tcPr>
          <w:p w14:paraId="4EE8A2EF">
            <w:pPr>
              <w:spacing w:line="276" w:lineRule="auto"/>
              <w:jc w:val="center"/>
              <w:rPr>
                <w:rFonts w:hint="default" w:ascii="Times New Roman Regular" w:hAnsi="Times New Roman Regular" w:eastAsia="宋体" w:cs="Times New Roman Regular"/>
                <w:b/>
                <w:bCs/>
                <w:i w:val="0"/>
                <w:iCs w:val="0"/>
                <w:color w:val="000000"/>
                <w:kern w:val="0"/>
                <w:sz w:val="21"/>
                <w:szCs w:val="21"/>
                <w:u w:val="none"/>
                <w:lang w:val="en-US" w:eastAsia="zh-CN" w:bidi="ar"/>
              </w:rPr>
            </w:pPr>
            <w:r>
              <w:rPr>
                <w:rFonts w:hint="eastAsia" w:ascii="Times New Roman" w:hAnsi="Times New Roman" w:eastAsia="宋体"/>
                <w:b/>
                <w:bCs/>
                <w:szCs w:val="21"/>
              </w:rPr>
              <w:t>碳足迹（kgCO</w:t>
            </w:r>
            <w:r>
              <w:rPr>
                <w:rFonts w:hint="eastAsia" w:ascii="Times New Roman" w:hAnsi="Times New Roman" w:eastAsia="宋体"/>
                <w:b/>
                <w:bCs/>
                <w:szCs w:val="21"/>
                <w:vertAlign w:val="subscript"/>
              </w:rPr>
              <w:t>2</w:t>
            </w:r>
            <w:r>
              <w:rPr>
                <w:rFonts w:hint="eastAsia" w:ascii="Times New Roman" w:hAnsi="Times New Roman" w:eastAsia="宋体"/>
                <w:b/>
                <w:bCs/>
                <w:szCs w:val="21"/>
              </w:rPr>
              <w:t>e/声明单位）</w:t>
            </w:r>
          </w:p>
        </w:tc>
        <w:tc>
          <w:tcPr>
            <w:tcW w:w="1686" w:type="dxa"/>
            <w:shd w:val="clear" w:color="auto" w:fill="auto"/>
            <w:vAlign w:val="center"/>
          </w:tcPr>
          <w:p w14:paraId="03D22859">
            <w:pPr>
              <w:spacing w:line="276" w:lineRule="auto"/>
              <w:jc w:val="center"/>
              <w:rPr>
                <w:rFonts w:hint="default" w:ascii="Times New Roman Regular" w:hAnsi="Times New Roman Regular" w:eastAsia="宋体" w:cs="Times New Roman Regular"/>
                <w:b/>
                <w:bCs/>
                <w:i w:val="0"/>
                <w:iCs w:val="0"/>
                <w:color w:val="000000"/>
                <w:sz w:val="21"/>
                <w:szCs w:val="21"/>
                <w:u w:val="none"/>
              </w:rPr>
            </w:pPr>
            <w:r>
              <w:rPr>
                <w:rFonts w:hint="eastAsia" w:ascii="Times New Roman" w:hAnsi="Times New Roman" w:eastAsia="宋体"/>
                <w:b/>
                <w:bCs/>
                <w:szCs w:val="21"/>
              </w:rPr>
              <w:t>占比（%）</w:t>
            </w:r>
          </w:p>
        </w:tc>
      </w:tr>
      <w:tr w14:paraId="57B9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196F8B46">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树脂</w:t>
            </w:r>
          </w:p>
        </w:tc>
        <w:tc>
          <w:tcPr>
            <w:tcW w:w="2865" w:type="dxa"/>
            <w:shd w:val="clear" w:color="auto" w:fill="auto"/>
            <w:vAlign w:val="bottom"/>
          </w:tcPr>
          <w:p w14:paraId="7171D4A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903.1222</w:t>
            </w:r>
          </w:p>
        </w:tc>
        <w:tc>
          <w:tcPr>
            <w:tcW w:w="1686" w:type="dxa"/>
            <w:shd w:val="clear" w:color="auto" w:fill="auto"/>
            <w:vAlign w:val="bottom"/>
          </w:tcPr>
          <w:p w14:paraId="10F7904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86.23%</w:t>
            </w:r>
          </w:p>
        </w:tc>
      </w:tr>
      <w:tr w14:paraId="5C15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148CDBCF">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石粉</w:t>
            </w:r>
          </w:p>
        </w:tc>
        <w:tc>
          <w:tcPr>
            <w:tcW w:w="2865" w:type="dxa"/>
            <w:shd w:val="clear" w:color="auto" w:fill="auto"/>
            <w:vAlign w:val="bottom"/>
          </w:tcPr>
          <w:p w14:paraId="49CC6B5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52.2596</w:t>
            </w:r>
          </w:p>
        </w:tc>
        <w:tc>
          <w:tcPr>
            <w:tcW w:w="1686" w:type="dxa"/>
            <w:shd w:val="clear" w:color="auto" w:fill="auto"/>
            <w:vAlign w:val="bottom"/>
          </w:tcPr>
          <w:p w14:paraId="3AA093F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4.99%</w:t>
            </w:r>
          </w:p>
        </w:tc>
      </w:tr>
      <w:tr w14:paraId="5C3B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7F37148D">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包材</w:t>
            </w:r>
          </w:p>
        </w:tc>
        <w:tc>
          <w:tcPr>
            <w:tcW w:w="2865" w:type="dxa"/>
            <w:shd w:val="clear" w:color="auto" w:fill="auto"/>
            <w:vAlign w:val="bottom"/>
          </w:tcPr>
          <w:p w14:paraId="293A23C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2.9345</w:t>
            </w:r>
          </w:p>
        </w:tc>
        <w:tc>
          <w:tcPr>
            <w:tcW w:w="1686" w:type="dxa"/>
            <w:shd w:val="clear" w:color="auto" w:fill="auto"/>
            <w:vAlign w:val="bottom"/>
          </w:tcPr>
          <w:p w14:paraId="05F84B4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0.28%</w:t>
            </w:r>
          </w:p>
        </w:tc>
      </w:tr>
      <w:tr w14:paraId="1A9F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349B67CB">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纸箱</w:t>
            </w:r>
          </w:p>
        </w:tc>
        <w:tc>
          <w:tcPr>
            <w:tcW w:w="2865" w:type="dxa"/>
            <w:shd w:val="clear" w:color="auto" w:fill="auto"/>
            <w:vAlign w:val="bottom"/>
          </w:tcPr>
          <w:p w14:paraId="797D3FA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2.6882</w:t>
            </w:r>
          </w:p>
        </w:tc>
        <w:tc>
          <w:tcPr>
            <w:tcW w:w="1686" w:type="dxa"/>
            <w:shd w:val="clear" w:color="auto" w:fill="auto"/>
            <w:vAlign w:val="bottom"/>
          </w:tcPr>
          <w:p w14:paraId="0C3C22E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0.26%</w:t>
            </w:r>
          </w:p>
        </w:tc>
      </w:tr>
      <w:tr w14:paraId="5547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4BC52B9B">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原材料运输</w:t>
            </w:r>
          </w:p>
        </w:tc>
        <w:tc>
          <w:tcPr>
            <w:tcW w:w="2865" w:type="dxa"/>
            <w:shd w:val="clear" w:color="auto" w:fill="auto"/>
            <w:vAlign w:val="bottom"/>
          </w:tcPr>
          <w:p w14:paraId="3BA4B8E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0.9594</w:t>
            </w:r>
          </w:p>
        </w:tc>
        <w:tc>
          <w:tcPr>
            <w:tcW w:w="1686" w:type="dxa"/>
            <w:shd w:val="clear" w:color="auto" w:fill="auto"/>
            <w:vAlign w:val="bottom"/>
          </w:tcPr>
          <w:p w14:paraId="6BD1706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0.09%</w:t>
            </w:r>
          </w:p>
        </w:tc>
      </w:tr>
      <w:tr w14:paraId="5E50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4B36EE84">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电力</w:t>
            </w:r>
          </w:p>
        </w:tc>
        <w:tc>
          <w:tcPr>
            <w:tcW w:w="2865" w:type="dxa"/>
            <w:shd w:val="clear" w:color="auto" w:fill="auto"/>
            <w:vAlign w:val="bottom"/>
          </w:tcPr>
          <w:p w14:paraId="6FF98B8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76.9243</w:t>
            </w:r>
          </w:p>
        </w:tc>
        <w:tc>
          <w:tcPr>
            <w:tcW w:w="1686" w:type="dxa"/>
            <w:shd w:val="clear" w:color="auto" w:fill="auto"/>
            <w:vAlign w:val="bottom"/>
          </w:tcPr>
          <w:p w14:paraId="2D5F130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7.35%</w:t>
            </w:r>
          </w:p>
        </w:tc>
      </w:tr>
      <w:tr w14:paraId="3116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6FC15185">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天然气</w:t>
            </w:r>
          </w:p>
        </w:tc>
        <w:tc>
          <w:tcPr>
            <w:tcW w:w="2865" w:type="dxa"/>
            <w:shd w:val="clear" w:color="auto" w:fill="auto"/>
            <w:vAlign w:val="bottom"/>
          </w:tcPr>
          <w:p w14:paraId="2CDB4C0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7.8960</w:t>
            </w:r>
          </w:p>
        </w:tc>
        <w:tc>
          <w:tcPr>
            <w:tcW w:w="1686" w:type="dxa"/>
            <w:shd w:val="clear" w:color="auto" w:fill="auto"/>
            <w:vAlign w:val="bottom"/>
          </w:tcPr>
          <w:p w14:paraId="783D606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0.75%</w:t>
            </w:r>
          </w:p>
        </w:tc>
      </w:tr>
      <w:tr w14:paraId="3107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43A33197">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固废处理</w:t>
            </w:r>
          </w:p>
        </w:tc>
        <w:tc>
          <w:tcPr>
            <w:tcW w:w="2865" w:type="dxa"/>
            <w:shd w:val="clear" w:color="auto" w:fill="auto"/>
            <w:vAlign w:val="bottom"/>
          </w:tcPr>
          <w:p w14:paraId="55CB17B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0.4914</w:t>
            </w:r>
          </w:p>
        </w:tc>
        <w:tc>
          <w:tcPr>
            <w:tcW w:w="1686" w:type="dxa"/>
            <w:shd w:val="clear" w:color="auto" w:fill="auto"/>
            <w:vAlign w:val="bottom"/>
          </w:tcPr>
          <w:p w14:paraId="4C56303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0.05%</w:t>
            </w:r>
          </w:p>
        </w:tc>
      </w:tr>
      <w:tr w14:paraId="5855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59C2F730">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固废运输</w:t>
            </w:r>
          </w:p>
        </w:tc>
        <w:tc>
          <w:tcPr>
            <w:tcW w:w="2865" w:type="dxa"/>
            <w:shd w:val="clear" w:color="auto" w:fill="auto"/>
            <w:vAlign w:val="bottom"/>
          </w:tcPr>
          <w:p w14:paraId="7753DB9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0.0015</w:t>
            </w:r>
          </w:p>
        </w:tc>
        <w:tc>
          <w:tcPr>
            <w:tcW w:w="1686" w:type="dxa"/>
            <w:shd w:val="clear" w:color="auto" w:fill="auto"/>
            <w:vAlign w:val="bottom"/>
          </w:tcPr>
          <w:p w14:paraId="561FA35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w:t>
            </w:r>
          </w:p>
        </w:tc>
      </w:tr>
      <w:tr w14:paraId="525B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4A4D659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合计</w:t>
            </w:r>
          </w:p>
        </w:tc>
        <w:tc>
          <w:tcPr>
            <w:tcW w:w="2865" w:type="dxa"/>
            <w:shd w:val="clear" w:color="auto" w:fill="auto"/>
            <w:vAlign w:val="bottom"/>
          </w:tcPr>
          <w:p w14:paraId="5386C8F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1047.28</w:t>
            </w:r>
          </w:p>
        </w:tc>
        <w:tc>
          <w:tcPr>
            <w:tcW w:w="1686" w:type="dxa"/>
            <w:shd w:val="clear" w:color="auto" w:fill="auto"/>
            <w:vAlign w:val="center"/>
          </w:tcPr>
          <w:p w14:paraId="29981D8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w:t>
            </w:r>
          </w:p>
        </w:tc>
      </w:tr>
    </w:tbl>
    <w:p w14:paraId="205670AD">
      <w:pPr>
        <w:spacing w:line="360" w:lineRule="auto"/>
        <w:jc w:val="center"/>
        <w:rPr>
          <w:rFonts w:ascii="Times New Roman" w:hAnsi="Times New Roman" w:eastAsia="宋体"/>
        </w:rPr>
      </w:pPr>
      <w:r>
        <w:drawing>
          <wp:inline distT="0" distB="0" distL="114300" distR="114300">
            <wp:extent cx="4828540" cy="2828290"/>
            <wp:effectExtent l="6350" t="6350" r="16510" b="1016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2A54ED">
      <w:pPr>
        <w:spacing w:line="360" w:lineRule="auto"/>
        <w:jc w:val="center"/>
        <w:rPr>
          <w:rFonts w:hint="eastAsia" w:ascii="Times New Roman" w:hAnsi="Times New Roman" w:eastAsia="宋体"/>
        </w:rPr>
      </w:pPr>
      <w:r>
        <w:rPr>
          <w:rFonts w:hint="eastAsia" w:ascii="Times New Roman" w:hAnsi="Times New Roman" w:eastAsia="宋体"/>
        </w:rPr>
        <w:t>图6-2 原料获取和生产阶段碳足迹明细</w:t>
      </w:r>
    </w:p>
    <w:p w14:paraId="7C099387">
      <w:pPr>
        <w:pStyle w:val="3"/>
        <w:keepNext w:val="0"/>
        <w:keepLines w:val="0"/>
        <w:numPr>
          <w:ilvl w:val="0"/>
          <w:numId w:val="8"/>
        </w:numPr>
        <w:spacing w:before="80" w:line="360" w:lineRule="auto"/>
        <w:rPr>
          <w:rFonts w:ascii="Times New Roman" w:hAnsi="Times New Roman" w:eastAsia="宋体"/>
          <w:b/>
          <w:bCs/>
          <w:color w:val="auto"/>
          <w:sz w:val="28"/>
          <w:szCs w:val="28"/>
        </w:rPr>
      </w:pPr>
      <w:bookmarkStart w:id="26" w:name="_Toc3222"/>
      <w:r>
        <w:rPr>
          <w:rFonts w:hint="eastAsia" w:ascii="Times New Roman" w:hAnsi="Times New Roman" w:eastAsia="宋体"/>
          <w:b/>
          <w:bCs/>
          <w:color w:val="auto"/>
          <w:sz w:val="28"/>
          <w:szCs w:val="28"/>
        </w:rPr>
        <w:t>假设和局限性说明</w:t>
      </w:r>
      <w:r>
        <w:rPr>
          <w:rFonts w:hint="eastAsia" w:ascii="Times New Roman" w:hAnsi="Times New Roman" w:eastAsia="宋体"/>
          <w:b/>
          <w:bCs/>
          <w:color w:val="auto"/>
          <w:sz w:val="28"/>
          <w:szCs w:val="28"/>
          <w:lang w:eastAsia="zh-CN"/>
        </w:rPr>
        <w:t>（</w:t>
      </w:r>
      <w:r>
        <w:rPr>
          <w:rFonts w:hint="eastAsia" w:ascii="Times New Roman" w:hAnsi="Times New Roman" w:eastAsia="宋体"/>
          <w:b/>
          <w:bCs/>
          <w:color w:val="auto"/>
          <w:sz w:val="28"/>
          <w:szCs w:val="28"/>
          <w:lang w:val="en-US" w:eastAsia="zh-CN"/>
        </w:rPr>
        <w:t>可选项</w:t>
      </w:r>
      <w:r>
        <w:rPr>
          <w:rFonts w:hint="eastAsia" w:ascii="Times New Roman" w:hAnsi="Times New Roman" w:eastAsia="宋体"/>
          <w:b/>
          <w:bCs/>
          <w:color w:val="auto"/>
          <w:sz w:val="28"/>
          <w:szCs w:val="28"/>
          <w:lang w:eastAsia="zh-CN"/>
        </w:rPr>
        <w:t>）</w:t>
      </w:r>
      <w:bookmarkEnd w:id="26"/>
    </w:p>
    <w:p w14:paraId="547B43E8">
      <w:pPr>
        <w:spacing w:line="360" w:lineRule="auto"/>
        <w:ind w:firstLine="480" w:firstLineChars="200"/>
        <w:rPr>
          <w:rFonts w:hint="default" w:ascii="Times New Roman" w:hAnsi="Times New Roman" w:eastAsia="宋体"/>
          <w:i w:val="0"/>
          <w:iCs w:val="0"/>
          <w:color w:val="auto"/>
          <w:sz w:val="24"/>
          <w:szCs w:val="28"/>
          <w:lang w:val="en-US" w:eastAsia="zh-CN"/>
        </w:rPr>
      </w:pPr>
      <w:r>
        <w:rPr>
          <w:rFonts w:hint="eastAsia" w:ascii="Times New Roman" w:hAnsi="Times New Roman" w:eastAsia="宋体"/>
          <w:i w:val="0"/>
          <w:iCs w:val="0"/>
          <w:color w:val="auto"/>
          <w:sz w:val="24"/>
          <w:szCs w:val="28"/>
          <w:lang w:val="en-US" w:eastAsia="zh-CN"/>
        </w:rPr>
        <w:t>原材料储运阶段，根据引用的原材料和包装材料数据库市场属性，避免重复计算，假设原材料和包装材料运输过程无储存过程。</w:t>
      </w:r>
    </w:p>
    <w:p w14:paraId="7B8A966E">
      <w:pPr>
        <w:pStyle w:val="3"/>
        <w:keepNext w:val="0"/>
        <w:keepLines w:val="0"/>
        <w:numPr>
          <w:ilvl w:val="0"/>
          <w:numId w:val="8"/>
        </w:numPr>
        <w:spacing w:before="80" w:line="360" w:lineRule="auto"/>
        <w:rPr>
          <w:rFonts w:ascii="Times New Roman" w:hAnsi="Times New Roman" w:eastAsia="宋体"/>
          <w:b/>
          <w:bCs/>
          <w:color w:val="auto"/>
          <w:sz w:val="28"/>
          <w:szCs w:val="28"/>
        </w:rPr>
      </w:pPr>
      <w:bookmarkStart w:id="27" w:name="_Toc17609"/>
      <w:r>
        <w:rPr>
          <w:rFonts w:hint="eastAsia" w:ascii="Times New Roman" w:hAnsi="Times New Roman" w:eastAsia="宋体"/>
          <w:b/>
          <w:bCs/>
          <w:color w:val="auto"/>
          <w:sz w:val="28"/>
          <w:szCs w:val="28"/>
        </w:rPr>
        <w:t>改进建议</w:t>
      </w:r>
      <w:bookmarkEnd w:id="27"/>
    </w:p>
    <w:p w14:paraId="17CC9CCD">
      <w:pPr>
        <w:spacing w:line="360" w:lineRule="auto"/>
        <w:ind w:firstLine="480" w:firstLineChars="200"/>
        <w:rPr>
          <w:rFonts w:hint="eastAsia" w:ascii="Times New Roman" w:hAnsi="Times New Roman" w:eastAsia="宋体"/>
          <w:i w:val="0"/>
          <w:iCs w:val="0"/>
          <w:color w:val="auto"/>
          <w:sz w:val="24"/>
          <w:szCs w:val="28"/>
          <w:lang w:val="en-US" w:eastAsia="zh-CN"/>
        </w:rPr>
      </w:pPr>
      <w:r>
        <w:rPr>
          <w:rFonts w:hint="eastAsia" w:ascii="Times New Roman" w:hAnsi="Times New Roman" w:eastAsia="宋体"/>
          <w:i w:val="0"/>
          <w:iCs w:val="0"/>
          <w:color w:val="auto"/>
          <w:sz w:val="24"/>
          <w:szCs w:val="28"/>
          <w:lang w:val="en-US" w:eastAsia="zh-CN"/>
        </w:rPr>
        <w:t>（1）提高原材料及能源使用效率，优化生产工艺，减少废弃物的产生，设计并采用环境友好及可持续的产品生产方案；</w:t>
      </w:r>
    </w:p>
    <w:p w14:paraId="1B109357">
      <w:pPr>
        <w:spacing w:line="360" w:lineRule="auto"/>
        <w:ind w:firstLine="480" w:firstLineChars="200"/>
        <w:rPr>
          <w:rFonts w:hint="eastAsia" w:ascii="Times New Roman" w:hAnsi="Times New Roman" w:eastAsia="宋体"/>
          <w:i w:val="0"/>
          <w:iCs w:val="0"/>
          <w:color w:val="auto"/>
          <w:sz w:val="24"/>
          <w:szCs w:val="28"/>
          <w:lang w:val="en-US" w:eastAsia="zh-CN"/>
        </w:rPr>
      </w:pPr>
      <w:r>
        <w:rPr>
          <w:rFonts w:hint="eastAsia" w:ascii="Times New Roman" w:hAnsi="Times New Roman" w:eastAsia="宋体"/>
          <w:i w:val="0"/>
          <w:iCs w:val="0"/>
          <w:color w:val="auto"/>
          <w:sz w:val="24"/>
          <w:szCs w:val="28"/>
          <w:lang w:val="en-US" w:eastAsia="zh-CN"/>
        </w:rPr>
        <w:t>（2）高绿色低碳发展意识，树立企业可持续发展原则，加强生命周期理念的宣传和实践。运用科学方法，加强产品碳足迹全过程中数据的积累和记录，定期对产品全生命周期的环境影响进行自查，以便企业内部开展相关对比分析，发现问题；</w:t>
      </w:r>
    </w:p>
    <w:p w14:paraId="687B458D">
      <w:pPr>
        <w:spacing w:line="360" w:lineRule="auto"/>
        <w:ind w:firstLine="480" w:firstLineChars="200"/>
        <w:rPr>
          <w:rFonts w:hint="default" w:ascii="Times New Roman" w:hAnsi="Times New Roman" w:eastAsia="宋体"/>
          <w:i w:val="0"/>
          <w:iCs w:val="0"/>
          <w:color w:val="auto"/>
          <w:sz w:val="24"/>
          <w:szCs w:val="28"/>
          <w:lang w:val="en-US" w:eastAsia="zh-CN"/>
        </w:rPr>
      </w:pPr>
      <w:r>
        <w:rPr>
          <w:rFonts w:hint="default" w:ascii="Times New Roman" w:hAnsi="Times New Roman" w:eastAsia="宋体"/>
          <w:i w:val="0"/>
          <w:iCs w:val="0"/>
          <w:color w:val="auto"/>
          <w:sz w:val="24"/>
          <w:szCs w:val="28"/>
          <w:lang w:val="en-US" w:eastAsia="zh-CN"/>
        </w:rPr>
        <w:t>（3）推进产业链绿色发展， 明确职责分工。构建支撑企业低碳发展的评价体系，建立绿色低碳供应链相</w:t>
      </w:r>
      <w:r>
        <w:rPr>
          <w:rFonts w:hint="eastAsia" w:ascii="Times New Roman" w:hAnsi="Times New Roman" w:eastAsia="宋体"/>
          <w:i w:val="0"/>
          <w:iCs w:val="0"/>
          <w:color w:val="auto"/>
          <w:sz w:val="24"/>
          <w:szCs w:val="28"/>
          <w:lang w:val="en-US" w:eastAsia="zh-CN"/>
        </w:rPr>
        <w:t>关</w:t>
      </w:r>
      <w:r>
        <w:rPr>
          <w:rFonts w:hint="default" w:ascii="Times New Roman" w:hAnsi="Times New Roman" w:eastAsia="宋体"/>
          <w:i w:val="0"/>
          <w:iCs w:val="0"/>
          <w:color w:val="auto"/>
          <w:sz w:val="24"/>
          <w:szCs w:val="28"/>
          <w:lang w:val="en-US" w:eastAsia="zh-CN"/>
        </w:rPr>
        <w:t>制度，推动供应链协同发展</w:t>
      </w:r>
      <w:r>
        <w:rPr>
          <w:rFonts w:hint="eastAsia" w:ascii="Times New Roman" w:hAnsi="Times New Roman" w:eastAsia="宋体"/>
          <w:i w:val="0"/>
          <w:iCs w:val="0"/>
          <w:color w:val="auto"/>
          <w:sz w:val="24"/>
          <w:szCs w:val="28"/>
          <w:lang w:val="en-US" w:eastAsia="zh-CN"/>
        </w:rPr>
        <w:t>。</w:t>
      </w:r>
    </w:p>
    <w:p w14:paraId="47479104">
      <w:pPr>
        <w:spacing w:line="360" w:lineRule="auto"/>
        <w:ind w:firstLine="480" w:firstLineChars="200"/>
        <w:rPr>
          <w:rFonts w:ascii="Times New Roman" w:hAnsi="Times New Roman" w:eastAsia="宋体"/>
          <w:sz w:val="24"/>
          <w:szCs w:val="28"/>
        </w:rPr>
      </w:pPr>
    </w:p>
    <w:p w14:paraId="4AE882E0">
      <w:pPr>
        <w:spacing w:line="360" w:lineRule="auto"/>
        <w:rPr>
          <w:rFonts w:ascii="Times New Roman" w:hAnsi="Times New Roman" w:eastAsia="宋体"/>
        </w:rPr>
        <w:sectPr>
          <w:pgSz w:w="11906" w:h="16838"/>
          <w:pgMar w:top="1440" w:right="1800" w:bottom="1440" w:left="1800" w:header="851" w:footer="992" w:gutter="0"/>
          <w:cols w:space="425" w:num="1"/>
          <w:docGrid w:type="lines" w:linePitch="312" w:charSpace="0"/>
        </w:sectPr>
      </w:pPr>
    </w:p>
    <w:p w14:paraId="68BE00C3">
      <w:pPr>
        <w:pStyle w:val="2"/>
        <w:keepNext w:val="0"/>
        <w:keepLines w:val="0"/>
        <w:spacing w:before="80" w:line="360" w:lineRule="auto"/>
        <w:rPr>
          <w:rFonts w:ascii="Times New Roman" w:hAnsi="Times New Roman" w:eastAsia="宋体"/>
          <w:b/>
          <w:bCs/>
          <w:color w:val="auto"/>
          <w:sz w:val="32"/>
          <w:szCs w:val="32"/>
        </w:rPr>
      </w:pPr>
      <w:bookmarkStart w:id="28" w:name="_Toc15882"/>
      <w:r>
        <w:rPr>
          <w:rFonts w:hint="eastAsia" w:ascii="Times New Roman" w:hAnsi="Times New Roman" w:eastAsia="宋体"/>
          <w:b/>
          <w:bCs/>
          <w:color w:val="auto"/>
          <w:sz w:val="32"/>
          <w:szCs w:val="32"/>
        </w:rPr>
        <w:t>附件1. 参考文献</w:t>
      </w:r>
      <w:bookmarkEnd w:id="28"/>
    </w:p>
    <w:p w14:paraId="57F62584">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[1].BSI, The Guide to PAS 2050: 2011, How to carbon footprint your products,identify hotspots and reduce emissions in your supply chain.</w:t>
      </w:r>
    </w:p>
    <w:p w14:paraId="15BD3467">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[2].Product Carbon Footprint Memorandum, Position statement on measurement and communication of the product carbon footprint for international standardization and harmonization purposes, Berlin, December 2009.</w:t>
      </w:r>
    </w:p>
    <w:p w14:paraId="67642455">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[3].PAS 2050: 2011-Specification for the Assessment of the Life Cycle Greenhouse Gas Emissions of Goods and Services[J]. Department for Environment,Food and Rural Affairs, &amp; British Standards Institution: United Kingdom, 2011: 2-12.</w:t>
      </w:r>
    </w:p>
    <w:p w14:paraId="110CB842">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[4].ISO/TS 14067: 2018, Greenhouse Gases—Carbon Footprint of Products—Reuirements and Guidelines for Quantification and Communication[J].International Organization for Standardization, Geneva, Switzerland, 2013.</w:t>
      </w:r>
    </w:p>
    <w:p w14:paraId="40D81AFC">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[5].IPCC 2021: The sixth Assessment Report of the Intergovernmental Panel on Climate Change.</w:t>
      </w:r>
    </w:p>
    <w:p w14:paraId="6FE2EF16">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[6].GB/T24067-2024.温室气体产品碳足迹量化要求和指南</w:t>
      </w:r>
    </w:p>
    <w:p w14:paraId="0E4AA58A">
      <w:pPr>
        <w:spacing w:line="360" w:lineRule="auto"/>
        <w:rPr>
          <w:rFonts w:ascii="Times New Roman" w:hAnsi="Times New Roman" w:eastAsia="宋体"/>
        </w:rPr>
      </w:pPr>
    </w:p>
    <w:p w14:paraId="3633332E">
      <w:pPr>
        <w:spacing w:line="360" w:lineRule="auto"/>
        <w:rPr>
          <w:rFonts w:ascii="Times New Roman" w:hAnsi="Times New Roman" w:eastAsia="宋体"/>
        </w:rPr>
        <w:sectPr>
          <w:pgSz w:w="11906" w:h="16838"/>
          <w:pgMar w:top="1440" w:right="1800" w:bottom="1440" w:left="1800" w:header="851" w:footer="992" w:gutter="0"/>
          <w:cols w:space="425" w:num="1"/>
          <w:docGrid w:type="lines" w:linePitch="312" w:charSpace="0"/>
        </w:sectPr>
      </w:pPr>
    </w:p>
    <w:p w14:paraId="197C0169">
      <w:pPr>
        <w:pStyle w:val="2"/>
        <w:keepNext w:val="0"/>
        <w:keepLines w:val="0"/>
        <w:spacing w:before="80" w:line="360" w:lineRule="auto"/>
        <w:rPr>
          <w:rFonts w:ascii="Times New Roman" w:hAnsi="Times New Roman" w:eastAsia="宋体"/>
          <w:b/>
          <w:bCs/>
          <w:color w:val="auto"/>
          <w:sz w:val="32"/>
          <w:szCs w:val="32"/>
        </w:rPr>
      </w:pPr>
      <w:bookmarkStart w:id="29" w:name="_Toc8942"/>
      <w:r>
        <w:rPr>
          <w:rFonts w:hint="eastAsia" w:ascii="Times New Roman" w:hAnsi="Times New Roman" w:eastAsia="宋体"/>
          <w:b/>
          <w:bCs/>
          <w:color w:val="auto"/>
          <w:sz w:val="32"/>
          <w:szCs w:val="32"/>
        </w:rPr>
        <w:t>附件2. 引用背景过程</w:t>
      </w:r>
      <w:bookmarkEnd w:id="29"/>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358"/>
        <w:gridCol w:w="9310"/>
        <w:gridCol w:w="1792"/>
      </w:tblGrid>
      <w:tr w14:paraId="3197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251" w:type="pct"/>
            <w:noWrap/>
            <w:vAlign w:val="center"/>
          </w:tcPr>
          <w:p w14:paraId="3278F581">
            <w:pPr>
              <w:spacing w:line="276" w:lineRule="auto"/>
              <w:jc w:val="center"/>
              <w:rPr>
                <w:rFonts w:ascii="Times New Roman" w:hAnsi="Times New Roman"/>
                <w:b/>
                <w:bCs/>
                <w:szCs w:val="21"/>
              </w:rPr>
            </w:pPr>
            <w:r>
              <w:rPr>
                <w:rFonts w:hint="eastAsia" w:ascii="Times New Roman" w:hAnsi="Times New Roman"/>
                <w:b/>
                <w:bCs/>
                <w:szCs w:val="21"/>
              </w:rPr>
              <w:t>序号</w:t>
            </w:r>
          </w:p>
        </w:tc>
        <w:tc>
          <w:tcPr>
            <w:tcW w:w="831" w:type="pct"/>
            <w:noWrap/>
            <w:vAlign w:val="center"/>
          </w:tcPr>
          <w:p w14:paraId="656F2E0D">
            <w:pPr>
              <w:spacing w:line="276" w:lineRule="auto"/>
              <w:jc w:val="center"/>
              <w:rPr>
                <w:rFonts w:ascii="Times New Roman" w:hAnsi="Times New Roman"/>
                <w:b/>
                <w:bCs/>
                <w:szCs w:val="21"/>
              </w:rPr>
            </w:pPr>
            <w:r>
              <w:rPr>
                <w:rFonts w:hint="eastAsia" w:ascii="Times New Roman" w:hAnsi="Times New Roman"/>
                <w:b/>
                <w:bCs/>
                <w:szCs w:val="21"/>
              </w:rPr>
              <w:t>活动</w:t>
            </w:r>
          </w:p>
        </w:tc>
        <w:tc>
          <w:tcPr>
            <w:tcW w:w="3284" w:type="pct"/>
            <w:noWrap/>
            <w:vAlign w:val="center"/>
          </w:tcPr>
          <w:p w14:paraId="7546A0E8">
            <w:pPr>
              <w:spacing w:line="276" w:lineRule="auto"/>
              <w:jc w:val="center"/>
              <w:rPr>
                <w:rFonts w:ascii="Times New Roman" w:hAnsi="Times New Roman"/>
                <w:b/>
                <w:bCs/>
                <w:szCs w:val="21"/>
              </w:rPr>
            </w:pPr>
            <w:r>
              <w:rPr>
                <w:rFonts w:hint="eastAsia" w:ascii="Times New Roman" w:hAnsi="Times New Roman"/>
                <w:b/>
                <w:bCs/>
                <w:szCs w:val="21"/>
              </w:rPr>
              <w:t>背景过程</w:t>
            </w:r>
          </w:p>
        </w:tc>
        <w:tc>
          <w:tcPr>
            <w:tcW w:w="632" w:type="pct"/>
            <w:vAlign w:val="center"/>
          </w:tcPr>
          <w:p w14:paraId="1756EC03">
            <w:pPr>
              <w:spacing w:line="276" w:lineRule="auto"/>
              <w:jc w:val="center"/>
              <w:rPr>
                <w:rFonts w:ascii="Times New Roman" w:hAnsi="Times New Roman"/>
                <w:b/>
                <w:bCs/>
                <w:szCs w:val="21"/>
              </w:rPr>
            </w:pPr>
            <w:r>
              <w:rPr>
                <w:rFonts w:hint="eastAsia" w:ascii="Times New Roman" w:hAnsi="Times New Roman"/>
                <w:b/>
                <w:bCs/>
                <w:szCs w:val="21"/>
              </w:rPr>
              <w:t>数据来源</w:t>
            </w:r>
          </w:p>
        </w:tc>
      </w:tr>
      <w:tr w14:paraId="1278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276AE5BB">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4AFC0A67">
            <w:pPr>
              <w:keepNext w:val="0"/>
              <w:keepLines w:val="0"/>
              <w:widowControl/>
              <w:suppressLineNumbers w:val="0"/>
              <w:jc w:val="center"/>
              <w:textAlignment w:val="center"/>
              <w:rPr>
                <w:rFonts w:ascii="Times New Roman" w:hAnsi="Times New Roman" w:eastAsia="宋体"/>
                <w:i/>
                <w:iCs/>
                <w:color w:val="0000FF"/>
                <w:szCs w:val="21"/>
              </w:rPr>
            </w:pPr>
            <w:r>
              <w:rPr>
                <w:rFonts w:hint="eastAsia" w:ascii="宋体" w:hAnsi="宋体" w:eastAsia="宋体" w:cs="宋体"/>
                <w:i w:val="0"/>
                <w:iCs w:val="0"/>
                <w:color w:val="000000"/>
                <w:kern w:val="0"/>
                <w:sz w:val="22"/>
                <w:szCs w:val="22"/>
                <w:u w:val="none"/>
                <w:lang w:val="en-US" w:eastAsia="zh-CN" w:bidi="ar"/>
              </w:rPr>
              <w:t>树脂</w:t>
            </w:r>
          </w:p>
        </w:tc>
        <w:tc>
          <w:tcPr>
            <w:tcW w:w="3284" w:type="pct"/>
            <w:noWrap/>
            <w:vAlign w:val="center"/>
          </w:tcPr>
          <w:p w14:paraId="4227F898">
            <w:pPr>
              <w:keepNext w:val="0"/>
              <w:keepLines w:val="0"/>
              <w:widowControl/>
              <w:suppressLineNumbers w:val="0"/>
              <w:jc w:val="left"/>
              <w:textAlignment w:val="center"/>
              <w:rPr>
                <w:rFonts w:hint="default"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间苯二甲酸系不饱和聚酯树脂市场，全球</w:t>
            </w:r>
          </w:p>
        </w:tc>
        <w:tc>
          <w:tcPr>
            <w:tcW w:w="632" w:type="pct"/>
            <w:vAlign w:val="center"/>
          </w:tcPr>
          <w:p w14:paraId="77D491A7">
            <w:pPr>
              <w:spacing w:line="276" w:lineRule="auto"/>
              <w:jc w:val="center"/>
              <w:rPr>
                <w:rFonts w:hint="default" w:ascii="Times New Roman" w:hAnsi="Times New Roman" w:eastAsia="宋体"/>
                <w:i w:val="0"/>
                <w:iCs w:val="0"/>
                <w:color w:val="auto"/>
                <w:szCs w:val="21"/>
                <w:lang w:val="en-US" w:eastAsia="zh-CN"/>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6D0B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3D0F9E3C">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1B3627FC">
            <w:pPr>
              <w:keepNext w:val="0"/>
              <w:keepLines w:val="0"/>
              <w:widowControl/>
              <w:suppressLineNumbers w:val="0"/>
              <w:jc w:val="center"/>
              <w:textAlignment w:val="center"/>
              <w:rPr>
                <w:rFonts w:hint="eastAsia" w:ascii="Times New Roman" w:hAnsi="Times New Roman" w:eastAsia="宋体"/>
                <w:i/>
                <w:iCs/>
                <w:color w:val="0000FF"/>
                <w:szCs w:val="21"/>
                <w:lang w:val="en-US" w:eastAsia="zh-CN"/>
              </w:rPr>
            </w:pPr>
            <w:r>
              <w:rPr>
                <w:rFonts w:hint="eastAsia" w:ascii="Times New Roman" w:hAnsi="Times New Roman" w:eastAsia="宋体"/>
                <w:i w:val="0"/>
                <w:iCs w:val="0"/>
                <w:color w:val="auto"/>
                <w:szCs w:val="21"/>
                <w:lang w:val="en-US" w:eastAsia="zh-CN"/>
              </w:rPr>
              <w:t>石粉</w:t>
            </w:r>
          </w:p>
        </w:tc>
        <w:tc>
          <w:tcPr>
            <w:tcW w:w="3284" w:type="pct"/>
            <w:noWrap/>
            <w:vAlign w:val="center"/>
          </w:tcPr>
          <w:p w14:paraId="07A8AD44">
            <w:pPr>
              <w:keepNext w:val="0"/>
              <w:keepLines w:val="0"/>
              <w:widowControl/>
              <w:suppressLineNumbers w:val="0"/>
              <w:jc w:val="left"/>
              <w:textAlignment w:val="center"/>
              <w:rPr>
                <w:rFonts w:hint="default"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石粉市场，全球</w:t>
            </w:r>
          </w:p>
        </w:tc>
        <w:tc>
          <w:tcPr>
            <w:tcW w:w="632" w:type="pct"/>
            <w:vAlign w:val="center"/>
          </w:tcPr>
          <w:p w14:paraId="4FB5D0B1">
            <w:pPr>
              <w:spacing w:line="276" w:lineRule="auto"/>
              <w:jc w:val="center"/>
              <w:rPr>
                <w:rFonts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4BBE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76963D2E">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7CB61434">
            <w:pPr>
              <w:keepNext w:val="0"/>
              <w:keepLines w:val="0"/>
              <w:widowControl/>
              <w:suppressLineNumbers w:val="0"/>
              <w:jc w:val="center"/>
              <w:textAlignment w:val="center"/>
              <w:rPr>
                <w:rFonts w:ascii="Times New Roman" w:hAnsi="Times New Roman" w:eastAsia="宋体"/>
                <w:i/>
                <w:iCs/>
                <w:color w:val="0000FF"/>
                <w:szCs w:val="21"/>
              </w:rPr>
            </w:pPr>
            <w:r>
              <w:rPr>
                <w:rFonts w:hint="eastAsia" w:ascii="宋体" w:hAnsi="宋体" w:eastAsia="宋体" w:cs="宋体"/>
                <w:i w:val="0"/>
                <w:iCs w:val="0"/>
                <w:color w:val="000000"/>
                <w:kern w:val="0"/>
                <w:sz w:val="22"/>
                <w:szCs w:val="22"/>
                <w:u w:val="none"/>
                <w:lang w:val="en-US" w:eastAsia="zh-CN" w:bidi="ar"/>
              </w:rPr>
              <w:t>包材</w:t>
            </w:r>
          </w:p>
        </w:tc>
        <w:tc>
          <w:tcPr>
            <w:tcW w:w="3284" w:type="pct"/>
            <w:noWrap/>
            <w:vAlign w:val="center"/>
          </w:tcPr>
          <w:p w14:paraId="703210E3">
            <w:pPr>
              <w:keepNext w:val="0"/>
              <w:keepLines w:val="0"/>
              <w:widowControl/>
              <w:suppressLineNumbers w:val="0"/>
              <w:jc w:val="left"/>
              <w:textAlignment w:val="center"/>
              <w:rPr>
                <w:rFonts w:hint="default"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包装薄膜市场，低密度聚乙烯，全球</w:t>
            </w:r>
          </w:p>
        </w:tc>
        <w:tc>
          <w:tcPr>
            <w:tcW w:w="632" w:type="pct"/>
            <w:vAlign w:val="center"/>
          </w:tcPr>
          <w:p w14:paraId="506F0C92">
            <w:pPr>
              <w:spacing w:line="276" w:lineRule="auto"/>
              <w:jc w:val="center"/>
              <w:rPr>
                <w:rFonts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5705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79FAD338">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268615E3">
            <w:pPr>
              <w:keepNext w:val="0"/>
              <w:keepLines w:val="0"/>
              <w:widowControl/>
              <w:suppressLineNumbers w:val="0"/>
              <w:jc w:val="center"/>
              <w:textAlignment w:val="center"/>
              <w:rPr>
                <w:rFonts w:hint="default" w:ascii="Times New Roman" w:hAnsi="Times New Roman" w:eastAsia="宋体"/>
                <w:i/>
                <w:iCs/>
                <w:color w:val="0000FF"/>
                <w:szCs w:val="21"/>
                <w:lang w:val="en-US"/>
              </w:rPr>
            </w:pPr>
            <w:r>
              <w:rPr>
                <w:rFonts w:hint="eastAsia" w:ascii="宋体" w:hAnsi="宋体" w:eastAsia="宋体" w:cs="宋体"/>
                <w:i w:val="0"/>
                <w:iCs w:val="0"/>
                <w:color w:val="000000"/>
                <w:kern w:val="0"/>
                <w:sz w:val="22"/>
                <w:szCs w:val="22"/>
                <w:u w:val="none"/>
                <w:lang w:val="en-US" w:eastAsia="zh-CN" w:bidi="ar"/>
              </w:rPr>
              <w:t>包装纸箱</w:t>
            </w:r>
          </w:p>
        </w:tc>
        <w:tc>
          <w:tcPr>
            <w:tcW w:w="3284" w:type="pct"/>
            <w:noWrap/>
            <w:vAlign w:val="center"/>
          </w:tcPr>
          <w:p w14:paraId="010279C3">
            <w:pPr>
              <w:keepNext w:val="0"/>
              <w:keepLines w:val="0"/>
              <w:widowControl/>
              <w:suppressLineNumbers w:val="0"/>
              <w:jc w:val="left"/>
              <w:textAlignment w:val="center"/>
              <w:rPr>
                <w:rFonts w:hint="default"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瓦楞纸板箱市场，世界其他地区</w:t>
            </w:r>
          </w:p>
        </w:tc>
        <w:tc>
          <w:tcPr>
            <w:tcW w:w="632" w:type="pct"/>
            <w:vAlign w:val="center"/>
          </w:tcPr>
          <w:p w14:paraId="3FA9F38B">
            <w:pPr>
              <w:spacing w:line="276" w:lineRule="auto"/>
              <w:jc w:val="center"/>
              <w:rPr>
                <w:rFonts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0731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08FDE650">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12411AE3">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电力</w:t>
            </w:r>
          </w:p>
        </w:tc>
        <w:tc>
          <w:tcPr>
            <w:tcW w:w="3284" w:type="pct"/>
            <w:noWrap/>
            <w:vAlign w:val="center"/>
          </w:tcPr>
          <w:p w14:paraId="5BAA6361">
            <w:pPr>
              <w:spacing w:line="276" w:lineRule="auto"/>
              <w:jc w:val="left"/>
              <w:rPr>
                <w:rFonts w:hint="eastAsia" w:ascii="Times New Roman" w:hAnsi="Times New Roman" w:eastAsia="宋体"/>
                <w:i w:val="0"/>
                <w:iCs w:val="0"/>
                <w:color w:val="auto"/>
                <w:szCs w:val="21"/>
                <w:lang w:val="en-US" w:eastAsia="zh-CN"/>
              </w:rPr>
            </w:pPr>
            <w:r>
              <w:rPr>
                <w:rFonts w:hint="eastAsia" w:ascii="Times New Roman" w:hAnsi="Times New Roman" w:eastAsia="宋体"/>
                <w:i w:val="0"/>
                <w:iCs w:val="0"/>
                <w:color w:val="auto"/>
                <w:szCs w:val="21"/>
                <w:lang w:val="en-US" w:eastAsia="zh-CN"/>
              </w:rPr>
              <w:t>电力市场，中压，中国，国家电网公司华东分部</w:t>
            </w:r>
          </w:p>
        </w:tc>
        <w:tc>
          <w:tcPr>
            <w:tcW w:w="632" w:type="pct"/>
            <w:vAlign w:val="center"/>
          </w:tcPr>
          <w:p w14:paraId="47B5BB9E">
            <w:pPr>
              <w:spacing w:line="276" w:lineRule="auto"/>
              <w:jc w:val="center"/>
              <w:rPr>
                <w:rFonts w:hint="eastAsia"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2D0A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5A3AFF36">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71005D10">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天然气</w:t>
            </w:r>
          </w:p>
        </w:tc>
        <w:tc>
          <w:tcPr>
            <w:tcW w:w="3284" w:type="pct"/>
            <w:noWrap/>
            <w:vAlign w:val="center"/>
          </w:tcPr>
          <w:p w14:paraId="19759F26">
            <w:pPr>
              <w:spacing w:line="276" w:lineRule="auto"/>
              <w:jc w:val="left"/>
              <w:rPr>
                <w:rFonts w:hint="default" w:ascii="Times New Roman" w:hAnsi="Times New Roman" w:eastAsia="宋体"/>
                <w:i w:val="0"/>
                <w:iCs w:val="0"/>
                <w:color w:val="auto"/>
                <w:szCs w:val="21"/>
                <w:lang w:val="en-US" w:eastAsia="zh-CN"/>
              </w:rPr>
            </w:pPr>
            <w:r>
              <w:rPr>
                <w:rFonts w:hint="eastAsia" w:ascii="Times New Roman" w:hAnsi="Times New Roman" w:eastAsia="宋体"/>
                <w:i w:val="0"/>
                <w:iCs w:val="0"/>
                <w:color w:val="auto"/>
                <w:szCs w:val="21"/>
                <w:lang w:val="en-US" w:eastAsia="zh-CN"/>
              </w:rPr>
              <w:t>天然气上下游排放因子</w:t>
            </w:r>
          </w:p>
        </w:tc>
        <w:tc>
          <w:tcPr>
            <w:tcW w:w="632" w:type="pct"/>
            <w:vAlign w:val="center"/>
          </w:tcPr>
          <w:p w14:paraId="1416CD81">
            <w:pPr>
              <w:spacing w:line="276" w:lineRule="auto"/>
              <w:jc w:val="center"/>
              <w:rPr>
                <w:rFonts w:hint="default" w:ascii="Times New Roman" w:hAnsi="Times New Roman" w:eastAsia="宋体"/>
                <w:i w:val="0"/>
                <w:iCs w:val="0"/>
                <w:color w:val="auto"/>
                <w:szCs w:val="21"/>
                <w:lang w:val="en-US"/>
              </w:rPr>
            </w:pPr>
            <w:r>
              <w:rPr>
                <w:rFonts w:hint="default" w:ascii="Times New Roman" w:hAnsi="Times New Roman" w:eastAsia="宋体"/>
                <w:i w:val="0"/>
                <w:iCs w:val="0"/>
                <w:color w:val="auto"/>
                <w:szCs w:val="21"/>
                <w:lang w:val="en-US"/>
              </w:rPr>
              <w:t>CLCD</w:t>
            </w:r>
          </w:p>
        </w:tc>
      </w:tr>
      <w:tr w14:paraId="4FDA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6FB914D4">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71CBD214">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固废处理</w:t>
            </w:r>
          </w:p>
        </w:tc>
        <w:tc>
          <w:tcPr>
            <w:tcW w:w="3284" w:type="pct"/>
            <w:noWrap/>
            <w:vAlign w:val="center"/>
          </w:tcPr>
          <w:p w14:paraId="31B539BA">
            <w:pPr>
              <w:keepNext w:val="0"/>
              <w:keepLines w:val="0"/>
              <w:widowControl/>
              <w:suppressLineNumbers w:val="0"/>
              <w:jc w:val="left"/>
              <w:textAlignment w:val="center"/>
              <w:rPr>
                <w:rFonts w:hint="eastAsia"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危险废物处理，危险废物焚烧，能源回收，全球</w:t>
            </w:r>
          </w:p>
        </w:tc>
        <w:tc>
          <w:tcPr>
            <w:tcW w:w="632" w:type="pct"/>
            <w:vAlign w:val="center"/>
          </w:tcPr>
          <w:p w14:paraId="6F9E2538">
            <w:pPr>
              <w:spacing w:line="276" w:lineRule="auto"/>
              <w:jc w:val="center"/>
              <w:rPr>
                <w:rFonts w:hint="eastAsia"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6932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2C8C166B">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shd w:val="clear" w:color="auto" w:fill="auto"/>
            <w:noWrap/>
            <w:vAlign w:val="center"/>
          </w:tcPr>
          <w:p w14:paraId="4EBF821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heme="minorBidi"/>
                <w:i/>
                <w:iCs/>
                <w:color w:val="0000FF"/>
                <w:kern w:val="2"/>
                <w:sz w:val="21"/>
                <w:szCs w:val="21"/>
                <w:lang w:val="en-US" w:eastAsia="zh-CN" w:bidi="ar-SA"/>
              </w:rPr>
            </w:pPr>
            <w:r>
              <w:rPr>
                <w:rFonts w:hint="default" w:ascii="Times New Roman Regular" w:hAnsi="Times New Roman Regular" w:eastAsia="宋体" w:cs="Times New Roman Regular"/>
                <w:i w:val="0"/>
                <w:iCs w:val="0"/>
                <w:color w:val="000000"/>
                <w:kern w:val="0"/>
                <w:sz w:val="21"/>
                <w:szCs w:val="21"/>
                <w:u w:val="none"/>
                <w:lang w:val="en-US" w:eastAsia="zh-CN" w:bidi="ar"/>
              </w:rPr>
              <w:t>运输</w:t>
            </w:r>
          </w:p>
        </w:tc>
        <w:tc>
          <w:tcPr>
            <w:tcW w:w="3284" w:type="pct"/>
            <w:shd w:val="clear" w:color="auto" w:fill="auto"/>
            <w:noWrap/>
            <w:vAlign w:val="center"/>
          </w:tcPr>
          <w:p w14:paraId="63A1900D">
            <w:pPr>
              <w:spacing w:line="276" w:lineRule="auto"/>
              <w:jc w:val="left"/>
              <w:rPr>
                <w:rFonts w:hint="eastAsia" w:ascii="Times New Roman" w:hAnsi="Times New Roman" w:eastAsia="宋体" w:cstheme="minorBidi"/>
                <w:i w:val="0"/>
                <w:iCs w:val="0"/>
                <w:color w:val="auto"/>
                <w:kern w:val="2"/>
                <w:sz w:val="21"/>
                <w:szCs w:val="21"/>
                <w:lang w:val="en-US" w:eastAsia="zh-CN" w:bidi="ar-SA"/>
              </w:rPr>
            </w:pPr>
            <w:r>
              <w:rPr>
                <w:rFonts w:hint="eastAsia" w:ascii="Times New Roman" w:hAnsi="Times New Roman" w:eastAsia="宋体"/>
                <w:i w:val="0"/>
                <w:iCs w:val="0"/>
                <w:color w:val="auto"/>
                <w:szCs w:val="21"/>
                <w:lang w:val="en-US" w:eastAsia="zh-CN"/>
              </w:rPr>
              <w:t>运输，货运，卡车，所有尺寸，</w:t>
            </w:r>
            <w:r>
              <w:rPr>
                <w:rFonts w:hint="default" w:ascii="Times New Roman" w:hAnsi="Times New Roman" w:eastAsia="宋体"/>
                <w:i w:val="0"/>
                <w:iCs w:val="0"/>
                <w:color w:val="auto"/>
                <w:szCs w:val="21"/>
                <w:lang w:val="en-US" w:eastAsia="zh-CN"/>
              </w:rPr>
              <w:t>EURO6</w:t>
            </w:r>
            <w:r>
              <w:rPr>
                <w:rFonts w:hint="eastAsia" w:ascii="Times New Roman" w:hAnsi="Times New Roman" w:eastAsia="宋体"/>
                <w:i w:val="0"/>
                <w:iCs w:val="0"/>
                <w:color w:val="auto"/>
                <w:szCs w:val="21"/>
                <w:lang w:val="en-US" w:eastAsia="zh-CN"/>
              </w:rPr>
              <w:t>用于运输的通用市场，货运，卡车，为指定，世界其他地区</w:t>
            </w:r>
          </w:p>
        </w:tc>
        <w:tc>
          <w:tcPr>
            <w:tcW w:w="632" w:type="pct"/>
            <w:shd w:val="clear" w:color="auto" w:fill="auto"/>
            <w:vAlign w:val="center"/>
          </w:tcPr>
          <w:p w14:paraId="1DB34E82">
            <w:pPr>
              <w:spacing w:line="276" w:lineRule="auto"/>
              <w:jc w:val="center"/>
              <w:rPr>
                <w:rFonts w:hint="eastAsia" w:ascii="Times New Roman" w:hAnsi="Times New Roman" w:eastAsia="宋体" w:cstheme="minorBidi"/>
                <w:i w:val="0"/>
                <w:iCs w:val="0"/>
                <w:color w:val="auto"/>
                <w:kern w:val="2"/>
                <w:sz w:val="21"/>
                <w:szCs w:val="21"/>
                <w:lang w:val="en-US" w:eastAsia="zh-CN" w:bidi="ar-SA"/>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bl>
    <w:p w14:paraId="49FE687C">
      <w:pPr>
        <w:spacing w:line="360" w:lineRule="auto"/>
        <w:rPr>
          <w:rFonts w:ascii="Times New Roman" w:hAnsi="Times New Roman" w:eastAsia="宋体"/>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imes New Roman Regular">
    <w:altName w:val="Times New Roman"/>
    <w:panose1 w:val="02020503050405090304"/>
    <w:charset w:val="00"/>
    <w:family w:val="auto"/>
    <w:pitch w:val="default"/>
    <w:sig w:usb0="00000000" w:usb1="00000000" w:usb2="00000001" w:usb3="00000000" w:csb0="400001BF" w:csb1="DFF70000"/>
  </w:font>
  <w:font w:name="隶书">
    <w:panose1 w:val="0201050906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8934268"/>
      <w:docPartObj>
        <w:docPartGallery w:val="autotext"/>
      </w:docPartObj>
    </w:sdtPr>
    <w:sdtContent>
      <w:p w14:paraId="2739A2BA">
        <w:pPr>
          <w:pStyle w:val="21"/>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69248EE9">
    <w:pPr>
      <w:pStyle w:val="21"/>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2332826"/>
      <w:docPartObj>
        <w:docPartGallery w:val="autotext"/>
      </w:docPartObj>
    </w:sdtPr>
    <w:sdtContent>
      <w:p w14:paraId="0E349271">
        <w:pPr>
          <w:pStyle w:val="21"/>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11E2C482">
    <w:pPr>
      <w:pStyle w:val="21"/>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21A0">
    <w:pPr>
      <w:pStyle w:val="22"/>
      <w:ind w:firstLine="1400" w:firstLineChars="500"/>
      <w:jc w:val="left"/>
      <w:rPr>
        <w:bCs/>
        <w:sz w:val="21"/>
        <w:u w:val="single"/>
      </w:rPr>
    </w:pPr>
    <w:r>
      <w:rPr>
        <w:rFonts w:hint="eastAsia"/>
        <w:sz w:val="28"/>
      </w:rPr>
      <w:drawing>
        <wp:anchor distT="0" distB="0" distL="114300" distR="114300" simplePos="0" relativeHeight="251660288" behindDoc="0" locked="0" layoutInCell="1" allowOverlap="1">
          <wp:simplePos x="0" y="0"/>
          <wp:positionH relativeFrom="column">
            <wp:posOffset>-110490</wp:posOffset>
          </wp:positionH>
          <wp:positionV relativeFrom="paragraph">
            <wp:posOffset>-156210</wp:posOffset>
          </wp:positionV>
          <wp:extent cx="911860" cy="531495"/>
          <wp:effectExtent l="0" t="0" r="2540" b="1905"/>
          <wp:wrapNone/>
          <wp:docPr id="11" name="Picture 2" descr="联合智业司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联合智业司标"/>
                  <pic:cNvPicPr>
                    <a:picLocks noChangeAspect="1" noChangeArrowheads="1"/>
                  </pic:cNvPicPr>
                </pic:nvPicPr>
                <pic:blipFill>
                  <a:blip r:embed="rId1"/>
                  <a:srcRect/>
                  <a:stretch>
                    <a:fillRect/>
                  </a:stretch>
                </pic:blipFill>
                <pic:spPr>
                  <a:xfrm>
                    <a:off x="0" y="0"/>
                    <a:ext cx="912170" cy="531628"/>
                  </a:xfrm>
                  <a:prstGeom prst="rect">
                    <a:avLst/>
                  </a:prstGeom>
                  <a:noFill/>
                  <a:ln w="9525">
                    <a:noFill/>
                    <a:miter lim="800000"/>
                    <a:headEnd/>
                    <a:tailEnd/>
                  </a:ln>
                </pic:spPr>
              </pic:pic>
            </a:graphicData>
          </a:graphic>
        </wp:anchor>
      </w:drawing>
    </w:r>
    <w:r>
      <w:rPr>
        <w:rFonts w:hint="eastAsia" w:eastAsia="隶书"/>
        <w:bCs/>
        <w:sz w:val="30"/>
      </w:rPr>
      <w:t xml:space="preserve">北京联合智业认证有限公司 </w:t>
    </w:r>
    <w:r>
      <w:rPr>
        <w:rFonts w:hint="eastAsia" w:eastAsia="隶书"/>
        <w:bCs/>
        <w:sz w:val="28"/>
      </w:rPr>
      <w:t xml:space="preserve">       </w:t>
    </w:r>
    <w:r>
      <w:rPr>
        <w:rFonts w:hint="eastAsia" w:eastAsia="隶书"/>
        <w:bCs/>
        <w:sz w:val="22"/>
        <w:szCs w:val="22"/>
      </w:rPr>
      <w:t xml:space="preserve"> </w:t>
    </w:r>
  </w:p>
  <w:p w14:paraId="4C115CFD">
    <w:pPr>
      <w:pStyle w:val="22"/>
      <w:jc w:val="both"/>
      <w:rPr>
        <w:rFonts w:hint="eastAsia"/>
      </w:rPr>
    </w:pPr>
    <w:r>
      <w:rPr>
        <w:rFonts w:hint="default" w:ascii="Times New Roman" w:hAnsi="Times New Roman" w:cs="Times New Roman"/>
        <w:sz w:val="22"/>
        <w:szCs w:val="22"/>
      </w:rPr>
      <w:t xml:space="preserve">   </w:t>
    </w:r>
    <w:r>
      <w:rPr>
        <w:rFonts w:hint="eastAsia" w:ascii="Times New Roman" w:hAnsi="Times New Roman" w:cs="Times New Roman"/>
        <w:sz w:val="22"/>
        <w:szCs w:val="22"/>
        <w:lang w:val="en-US" w:eastAsia="zh-CN"/>
      </w:rPr>
      <w:t xml:space="preserve">          </w:t>
    </w:r>
    <w:r>
      <w:rPr>
        <w:rFonts w:hint="default" w:ascii="Times New Roman" w:hAnsi="Times New Roman" w:cs="Times New Roman"/>
        <w:sz w:val="22"/>
        <w:szCs w:val="22"/>
      </w:rPr>
      <w:t xml:space="preserve">Beijing United Intelligence Certification Co., Ltd.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ADCDD"/>
    <w:multiLevelType w:val="singleLevel"/>
    <w:tmpl w:val="9BFADCDD"/>
    <w:lvl w:ilvl="0" w:tentative="0">
      <w:start w:val="1"/>
      <w:numFmt w:val="decimal"/>
      <w:suff w:val="nothing"/>
      <w:lvlText w:val="（%1）"/>
      <w:lvlJc w:val="left"/>
    </w:lvl>
  </w:abstractNum>
  <w:abstractNum w:abstractNumId="1">
    <w:nsid w:val="054026C7"/>
    <w:multiLevelType w:val="multilevel"/>
    <w:tmpl w:val="054026C7"/>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02473EF"/>
    <w:multiLevelType w:val="multilevel"/>
    <w:tmpl w:val="102473EF"/>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0DD126A"/>
    <w:multiLevelType w:val="multilevel"/>
    <w:tmpl w:val="10DD126A"/>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28B4291D"/>
    <w:multiLevelType w:val="multilevel"/>
    <w:tmpl w:val="28B4291D"/>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3ED52D74"/>
    <w:multiLevelType w:val="multilevel"/>
    <w:tmpl w:val="3ED52D74"/>
    <w:lvl w:ilvl="0" w:tentative="0">
      <w:start w:val="1"/>
      <w:numFmt w:val="chineseCountingThousand"/>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5CF44983"/>
    <w:multiLevelType w:val="multilevel"/>
    <w:tmpl w:val="5CF44983"/>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638F3AAB"/>
    <w:multiLevelType w:val="multilevel"/>
    <w:tmpl w:val="638F3AAB"/>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7BFD318A"/>
    <w:multiLevelType w:val="singleLevel"/>
    <w:tmpl w:val="7BFD318A"/>
    <w:lvl w:ilvl="0" w:tentative="0">
      <w:start w:val="1"/>
      <w:numFmt w:val="decimal"/>
      <w:suff w:val="nothing"/>
      <w:lvlText w:val="（%1）"/>
      <w:lvlJc w:val="left"/>
    </w:lvl>
  </w:abstractNum>
  <w:num w:numId="1">
    <w:abstractNumId w:val="5"/>
  </w:num>
  <w:num w:numId="2">
    <w:abstractNumId w:val="1"/>
  </w:num>
  <w:num w:numId="3">
    <w:abstractNumId w:val="0"/>
  </w:num>
  <w:num w:numId="4">
    <w:abstractNumId w:val="4"/>
  </w:num>
  <w:num w:numId="5">
    <w:abstractNumId w:val="8"/>
  </w:num>
  <w:num w:numId="6">
    <w:abstractNumId w:val="3"/>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80F"/>
    <w:rsid w:val="000226BB"/>
    <w:rsid w:val="00034F79"/>
    <w:rsid w:val="0004089E"/>
    <w:rsid w:val="00047BD3"/>
    <w:rsid w:val="00054B21"/>
    <w:rsid w:val="00063D15"/>
    <w:rsid w:val="000866C2"/>
    <w:rsid w:val="00094085"/>
    <w:rsid w:val="000A68DB"/>
    <w:rsid w:val="000C2C97"/>
    <w:rsid w:val="000C2EA1"/>
    <w:rsid w:val="000D0297"/>
    <w:rsid w:val="000D0D4E"/>
    <w:rsid w:val="000D62E9"/>
    <w:rsid w:val="000D6865"/>
    <w:rsid w:val="000E55D3"/>
    <w:rsid w:val="000E56D4"/>
    <w:rsid w:val="000E6904"/>
    <w:rsid w:val="00114418"/>
    <w:rsid w:val="001217A9"/>
    <w:rsid w:val="00131348"/>
    <w:rsid w:val="001313C1"/>
    <w:rsid w:val="00132E1F"/>
    <w:rsid w:val="00135828"/>
    <w:rsid w:val="00144DCE"/>
    <w:rsid w:val="00144E89"/>
    <w:rsid w:val="00170F40"/>
    <w:rsid w:val="001745FC"/>
    <w:rsid w:val="00177CF9"/>
    <w:rsid w:val="00196159"/>
    <w:rsid w:val="001D58F4"/>
    <w:rsid w:val="00233C35"/>
    <w:rsid w:val="002379A2"/>
    <w:rsid w:val="00243B71"/>
    <w:rsid w:val="00243FB4"/>
    <w:rsid w:val="0024601D"/>
    <w:rsid w:val="00256638"/>
    <w:rsid w:val="002603DF"/>
    <w:rsid w:val="002621EB"/>
    <w:rsid w:val="00265DC8"/>
    <w:rsid w:val="0027116D"/>
    <w:rsid w:val="002721D1"/>
    <w:rsid w:val="00276346"/>
    <w:rsid w:val="00291493"/>
    <w:rsid w:val="00295894"/>
    <w:rsid w:val="002C2D27"/>
    <w:rsid w:val="002D40A7"/>
    <w:rsid w:val="002E0B9D"/>
    <w:rsid w:val="002E0C32"/>
    <w:rsid w:val="002E4B6A"/>
    <w:rsid w:val="002E7CA9"/>
    <w:rsid w:val="00300F86"/>
    <w:rsid w:val="00325A05"/>
    <w:rsid w:val="0033576F"/>
    <w:rsid w:val="003454A1"/>
    <w:rsid w:val="00353E5D"/>
    <w:rsid w:val="00357D5E"/>
    <w:rsid w:val="0037233A"/>
    <w:rsid w:val="00375834"/>
    <w:rsid w:val="00386201"/>
    <w:rsid w:val="003D14DE"/>
    <w:rsid w:val="003D49B8"/>
    <w:rsid w:val="003E180F"/>
    <w:rsid w:val="003F4C61"/>
    <w:rsid w:val="00401069"/>
    <w:rsid w:val="00406CDF"/>
    <w:rsid w:val="004247D9"/>
    <w:rsid w:val="00431EBE"/>
    <w:rsid w:val="00432EAC"/>
    <w:rsid w:val="004550D5"/>
    <w:rsid w:val="0045728B"/>
    <w:rsid w:val="004602CB"/>
    <w:rsid w:val="00462A10"/>
    <w:rsid w:val="00465368"/>
    <w:rsid w:val="00470E67"/>
    <w:rsid w:val="004910E0"/>
    <w:rsid w:val="00492E08"/>
    <w:rsid w:val="00494147"/>
    <w:rsid w:val="004A0AF8"/>
    <w:rsid w:val="004C6FE5"/>
    <w:rsid w:val="004D439B"/>
    <w:rsid w:val="004E08A7"/>
    <w:rsid w:val="00517E18"/>
    <w:rsid w:val="005368FE"/>
    <w:rsid w:val="005450DB"/>
    <w:rsid w:val="00545246"/>
    <w:rsid w:val="005527AB"/>
    <w:rsid w:val="00552B15"/>
    <w:rsid w:val="005540F3"/>
    <w:rsid w:val="00560F79"/>
    <w:rsid w:val="00572FCA"/>
    <w:rsid w:val="00583232"/>
    <w:rsid w:val="00590443"/>
    <w:rsid w:val="005A0DC7"/>
    <w:rsid w:val="005C04E3"/>
    <w:rsid w:val="005C427E"/>
    <w:rsid w:val="005E10CF"/>
    <w:rsid w:val="005E350A"/>
    <w:rsid w:val="005F6A1C"/>
    <w:rsid w:val="00600934"/>
    <w:rsid w:val="00601A8F"/>
    <w:rsid w:val="006145B1"/>
    <w:rsid w:val="00616C77"/>
    <w:rsid w:val="00617F91"/>
    <w:rsid w:val="006279BB"/>
    <w:rsid w:val="0064328F"/>
    <w:rsid w:val="00646D91"/>
    <w:rsid w:val="00661A97"/>
    <w:rsid w:val="00661E11"/>
    <w:rsid w:val="00667F7B"/>
    <w:rsid w:val="00672D93"/>
    <w:rsid w:val="00684720"/>
    <w:rsid w:val="00695E1F"/>
    <w:rsid w:val="006A4887"/>
    <w:rsid w:val="006A4BE3"/>
    <w:rsid w:val="006A5903"/>
    <w:rsid w:val="006C5D95"/>
    <w:rsid w:val="006D65B1"/>
    <w:rsid w:val="006E0248"/>
    <w:rsid w:val="0071087A"/>
    <w:rsid w:val="00726060"/>
    <w:rsid w:val="00735896"/>
    <w:rsid w:val="0077399D"/>
    <w:rsid w:val="0077659D"/>
    <w:rsid w:val="0078250B"/>
    <w:rsid w:val="00794931"/>
    <w:rsid w:val="00794C47"/>
    <w:rsid w:val="00795574"/>
    <w:rsid w:val="00797A45"/>
    <w:rsid w:val="007A4862"/>
    <w:rsid w:val="007A7D41"/>
    <w:rsid w:val="007C49B2"/>
    <w:rsid w:val="007C5839"/>
    <w:rsid w:val="00811168"/>
    <w:rsid w:val="008170BE"/>
    <w:rsid w:val="008213D4"/>
    <w:rsid w:val="008216C5"/>
    <w:rsid w:val="00822F29"/>
    <w:rsid w:val="0083385F"/>
    <w:rsid w:val="00834031"/>
    <w:rsid w:val="00834450"/>
    <w:rsid w:val="0084271D"/>
    <w:rsid w:val="008575F0"/>
    <w:rsid w:val="00872E4F"/>
    <w:rsid w:val="00874A0E"/>
    <w:rsid w:val="0087585C"/>
    <w:rsid w:val="00886850"/>
    <w:rsid w:val="00890B2F"/>
    <w:rsid w:val="008A396B"/>
    <w:rsid w:val="008B3D26"/>
    <w:rsid w:val="008C4F73"/>
    <w:rsid w:val="008D3AF1"/>
    <w:rsid w:val="008E3264"/>
    <w:rsid w:val="008E47F2"/>
    <w:rsid w:val="008E4A00"/>
    <w:rsid w:val="00901715"/>
    <w:rsid w:val="00914F2A"/>
    <w:rsid w:val="009172B8"/>
    <w:rsid w:val="009205BF"/>
    <w:rsid w:val="009265C1"/>
    <w:rsid w:val="00931300"/>
    <w:rsid w:val="00933F95"/>
    <w:rsid w:val="00936C31"/>
    <w:rsid w:val="00946143"/>
    <w:rsid w:val="00952F1E"/>
    <w:rsid w:val="009722EE"/>
    <w:rsid w:val="00983F4C"/>
    <w:rsid w:val="0098739F"/>
    <w:rsid w:val="0099363A"/>
    <w:rsid w:val="009A1B24"/>
    <w:rsid w:val="009A663B"/>
    <w:rsid w:val="009C1721"/>
    <w:rsid w:val="009C28C0"/>
    <w:rsid w:val="009C7C5D"/>
    <w:rsid w:val="009F74E5"/>
    <w:rsid w:val="00A06EDE"/>
    <w:rsid w:val="00A10EC3"/>
    <w:rsid w:val="00A17352"/>
    <w:rsid w:val="00A21196"/>
    <w:rsid w:val="00A24D66"/>
    <w:rsid w:val="00A46164"/>
    <w:rsid w:val="00A4764D"/>
    <w:rsid w:val="00A477D3"/>
    <w:rsid w:val="00A5650D"/>
    <w:rsid w:val="00A57A05"/>
    <w:rsid w:val="00A705F4"/>
    <w:rsid w:val="00A835E6"/>
    <w:rsid w:val="00A837DD"/>
    <w:rsid w:val="00A83F25"/>
    <w:rsid w:val="00A85484"/>
    <w:rsid w:val="00A93548"/>
    <w:rsid w:val="00A978AF"/>
    <w:rsid w:val="00AB0641"/>
    <w:rsid w:val="00AC3B09"/>
    <w:rsid w:val="00AD57BC"/>
    <w:rsid w:val="00AE5A28"/>
    <w:rsid w:val="00B0386F"/>
    <w:rsid w:val="00B06556"/>
    <w:rsid w:val="00B148B6"/>
    <w:rsid w:val="00B22362"/>
    <w:rsid w:val="00B225AC"/>
    <w:rsid w:val="00B37B93"/>
    <w:rsid w:val="00B445B8"/>
    <w:rsid w:val="00B45FB4"/>
    <w:rsid w:val="00B47DAA"/>
    <w:rsid w:val="00B523DC"/>
    <w:rsid w:val="00B75767"/>
    <w:rsid w:val="00B85CA1"/>
    <w:rsid w:val="00B93042"/>
    <w:rsid w:val="00BA3319"/>
    <w:rsid w:val="00BB1C28"/>
    <w:rsid w:val="00BE1DF2"/>
    <w:rsid w:val="00BE2B75"/>
    <w:rsid w:val="00BE5AE2"/>
    <w:rsid w:val="00BF1F52"/>
    <w:rsid w:val="00BF6221"/>
    <w:rsid w:val="00C170B9"/>
    <w:rsid w:val="00C51253"/>
    <w:rsid w:val="00C5368C"/>
    <w:rsid w:val="00C7587C"/>
    <w:rsid w:val="00CB6AF6"/>
    <w:rsid w:val="00CC5F54"/>
    <w:rsid w:val="00CC6B54"/>
    <w:rsid w:val="00CD250B"/>
    <w:rsid w:val="00CD504A"/>
    <w:rsid w:val="00CE033D"/>
    <w:rsid w:val="00CF1F2E"/>
    <w:rsid w:val="00CF3E50"/>
    <w:rsid w:val="00CF3F0D"/>
    <w:rsid w:val="00CF4152"/>
    <w:rsid w:val="00D0554C"/>
    <w:rsid w:val="00D108B2"/>
    <w:rsid w:val="00D16371"/>
    <w:rsid w:val="00D2199C"/>
    <w:rsid w:val="00D24163"/>
    <w:rsid w:val="00D43FFD"/>
    <w:rsid w:val="00D45082"/>
    <w:rsid w:val="00D506B6"/>
    <w:rsid w:val="00D67E8A"/>
    <w:rsid w:val="00D72134"/>
    <w:rsid w:val="00D77453"/>
    <w:rsid w:val="00D80245"/>
    <w:rsid w:val="00D80DA0"/>
    <w:rsid w:val="00D87405"/>
    <w:rsid w:val="00D90C19"/>
    <w:rsid w:val="00DA0A2D"/>
    <w:rsid w:val="00DA1359"/>
    <w:rsid w:val="00DC0D3E"/>
    <w:rsid w:val="00DC126E"/>
    <w:rsid w:val="00DC6E62"/>
    <w:rsid w:val="00DF1C80"/>
    <w:rsid w:val="00DF7056"/>
    <w:rsid w:val="00E029D3"/>
    <w:rsid w:val="00E073AB"/>
    <w:rsid w:val="00E13D5E"/>
    <w:rsid w:val="00E221DE"/>
    <w:rsid w:val="00E34A18"/>
    <w:rsid w:val="00E3513D"/>
    <w:rsid w:val="00E42C4D"/>
    <w:rsid w:val="00E5207C"/>
    <w:rsid w:val="00E56C49"/>
    <w:rsid w:val="00E770D9"/>
    <w:rsid w:val="00E80233"/>
    <w:rsid w:val="00EA042F"/>
    <w:rsid w:val="00EA3642"/>
    <w:rsid w:val="00EA6CCC"/>
    <w:rsid w:val="00EC1499"/>
    <w:rsid w:val="00ED126F"/>
    <w:rsid w:val="00EE23BB"/>
    <w:rsid w:val="00EE74EE"/>
    <w:rsid w:val="00EF55A1"/>
    <w:rsid w:val="00EF6BCE"/>
    <w:rsid w:val="00EF7CED"/>
    <w:rsid w:val="00F00656"/>
    <w:rsid w:val="00F07587"/>
    <w:rsid w:val="00F239E2"/>
    <w:rsid w:val="00F30EE0"/>
    <w:rsid w:val="00F34423"/>
    <w:rsid w:val="00F4236B"/>
    <w:rsid w:val="00F42D7E"/>
    <w:rsid w:val="00F44561"/>
    <w:rsid w:val="00F5056E"/>
    <w:rsid w:val="00F519B6"/>
    <w:rsid w:val="00F54303"/>
    <w:rsid w:val="00F60BF9"/>
    <w:rsid w:val="00F627ED"/>
    <w:rsid w:val="00F7735A"/>
    <w:rsid w:val="00F83F73"/>
    <w:rsid w:val="00F869E2"/>
    <w:rsid w:val="00F90DEE"/>
    <w:rsid w:val="00F94BA0"/>
    <w:rsid w:val="00FA5F9C"/>
    <w:rsid w:val="00FB22CC"/>
    <w:rsid w:val="00FB3418"/>
    <w:rsid w:val="00FD3094"/>
    <w:rsid w:val="00FD3BE9"/>
    <w:rsid w:val="00FE018C"/>
    <w:rsid w:val="00FE25D1"/>
    <w:rsid w:val="00FE50FE"/>
    <w:rsid w:val="00FF252C"/>
    <w:rsid w:val="01C40DDD"/>
    <w:rsid w:val="05DE61E6"/>
    <w:rsid w:val="06327225"/>
    <w:rsid w:val="0BC521A2"/>
    <w:rsid w:val="0E81463F"/>
    <w:rsid w:val="0FDE750E"/>
    <w:rsid w:val="14A95694"/>
    <w:rsid w:val="14D92565"/>
    <w:rsid w:val="16C906DE"/>
    <w:rsid w:val="1A3C5DB9"/>
    <w:rsid w:val="1CE41EDC"/>
    <w:rsid w:val="1EA37BD3"/>
    <w:rsid w:val="22010064"/>
    <w:rsid w:val="27D54B0B"/>
    <w:rsid w:val="286A4CEF"/>
    <w:rsid w:val="2AEA7A1F"/>
    <w:rsid w:val="2BB3127D"/>
    <w:rsid w:val="2D823A25"/>
    <w:rsid w:val="2DFF9071"/>
    <w:rsid w:val="2E861CC6"/>
    <w:rsid w:val="2E867E6D"/>
    <w:rsid w:val="2EFB4A65"/>
    <w:rsid w:val="31132F4E"/>
    <w:rsid w:val="343D449C"/>
    <w:rsid w:val="343F50AA"/>
    <w:rsid w:val="370670F2"/>
    <w:rsid w:val="377A916B"/>
    <w:rsid w:val="38080F63"/>
    <w:rsid w:val="38506971"/>
    <w:rsid w:val="3A056B45"/>
    <w:rsid w:val="3AAA4C10"/>
    <w:rsid w:val="3AFFD895"/>
    <w:rsid w:val="3B72466B"/>
    <w:rsid w:val="3BAB3E99"/>
    <w:rsid w:val="3C670588"/>
    <w:rsid w:val="3C9D07A8"/>
    <w:rsid w:val="3E242DE0"/>
    <w:rsid w:val="3F486F2D"/>
    <w:rsid w:val="3FF790EA"/>
    <w:rsid w:val="41DE664A"/>
    <w:rsid w:val="43B81430"/>
    <w:rsid w:val="43C21AC4"/>
    <w:rsid w:val="43DBD882"/>
    <w:rsid w:val="462B72EB"/>
    <w:rsid w:val="46511A49"/>
    <w:rsid w:val="46BE25D3"/>
    <w:rsid w:val="47B65CD6"/>
    <w:rsid w:val="490B2684"/>
    <w:rsid w:val="4A0F5F3A"/>
    <w:rsid w:val="4B1459E0"/>
    <w:rsid w:val="4C8E28C9"/>
    <w:rsid w:val="4CB57D0F"/>
    <w:rsid w:val="4E3B36C7"/>
    <w:rsid w:val="4E5B5626"/>
    <w:rsid w:val="4E7C0EC6"/>
    <w:rsid w:val="50216F73"/>
    <w:rsid w:val="52EA41C9"/>
    <w:rsid w:val="55D2786A"/>
    <w:rsid w:val="55DF2088"/>
    <w:rsid w:val="56534474"/>
    <w:rsid w:val="56DC5622"/>
    <w:rsid w:val="56FDA8D9"/>
    <w:rsid w:val="57D85B04"/>
    <w:rsid w:val="5980662B"/>
    <w:rsid w:val="5A3F2C14"/>
    <w:rsid w:val="5AAD366F"/>
    <w:rsid w:val="5BFECF5E"/>
    <w:rsid w:val="5C301F83"/>
    <w:rsid w:val="5DF43AFD"/>
    <w:rsid w:val="5EB929CE"/>
    <w:rsid w:val="61F25ACE"/>
    <w:rsid w:val="637251F2"/>
    <w:rsid w:val="65885B0D"/>
    <w:rsid w:val="674FD09A"/>
    <w:rsid w:val="67AB8BFF"/>
    <w:rsid w:val="67F921BE"/>
    <w:rsid w:val="6858684A"/>
    <w:rsid w:val="69A76940"/>
    <w:rsid w:val="69FE3FDE"/>
    <w:rsid w:val="6A7875D3"/>
    <w:rsid w:val="6A7A0B12"/>
    <w:rsid w:val="6BEF1D92"/>
    <w:rsid w:val="6DC42A44"/>
    <w:rsid w:val="6DE662C0"/>
    <w:rsid w:val="6DEFFFB3"/>
    <w:rsid w:val="6E5DD10A"/>
    <w:rsid w:val="6EAE7221"/>
    <w:rsid w:val="6F392014"/>
    <w:rsid w:val="7467234B"/>
    <w:rsid w:val="75AE7B06"/>
    <w:rsid w:val="76C973EA"/>
    <w:rsid w:val="77EEC65A"/>
    <w:rsid w:val="7BE2219F"/>
    <w:rsid w:val="7BFEB0AC"/>
    <w:rsid w:val="7D8730C8"/>
    <w:rsid w:val="7DFFE975"/>
    <w:rsid w:val="7E034DC6"/>
    <w:rsid w:val="7E6F00A8"/>
    <w:rsid w:val="7E864753"/>
    <w:rsid w:val="7F9FC693"/>
    <w:rsid w:val="8FED4273"/>
    <w:rsid w:val="9BBBBE31"/>
    <w:rsid w:val="A6BB7E92"/>
    <w:rsid w:val="BEF76671"/>
    <w:rsid w:val="DDDB7E60"/>
    <w:rsid w:val="E5673AB7"/>
    <w:rsid w:val="EABF1578"/>
    <w:rsid w:val="F3AC97B3"/>
    <w:rsid w:val="F7FBF0EB"/>
    <w:rsid w:val="F97927A1"/>
    <w:rsid w:val="FB5F2A67"/>
    <w:rsid w:val="FBCF4605"/>
    <w:rsid w:val="FFB76D18"/>
    <w:rsid w:val="FFBBB608"/>
    <w:rsid w:val="FFC3BF65"/>
    <w:rsid w:val="FFEF2064"/>
    <w:rsid w:val="FFFB9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36"/>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3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3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39"/>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40"/>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4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4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4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260"/>
      <w:jc w:val="left"/>
    </w:pPr>
    <w:rPr>
      <w:rFonts w:eastAsiaTheme="minorHAnsi"/>
      <w:sz w:val="18"/>
      <w:szCs w:val="18"/>
    </w:rPr>
  </w:style>
  <w:style w:type="paragraph" w:styleId="12">
    <w:name w:val="caption"/>
    <w:basedOn w:val="1"/>
    <w:next w:val="1"/>
    <w:qFormat/>
    <w:uiPriority w:val="0"/>
    <w:pPr>
      <w:widowControl/>
      <w:jc w:val="left"/>
    </w:pPr>
    <w:rPr>
      <w:rFonts w:ascii="Cambria" w:hAnsi="Cambria" w:eastAsia="黑体" w:cs="宋体"/>
      <w:kern w:val="0"/>
      <w:sz w:val="20"/>
      <w:szCs w:val="20"/>
    </w:rPr>
  </w:style>
  <w:style w:type="paragraph" w:styleId="13">
    <w:name w:val="annotation text"/>
    <w:basedOn w:val="1"/>
    <w:semiHidden/>
    <w:unhideWhenUsed/>
    <w:qFormat/>
    <w:uiPriority w:val="99"/>
    <w:pPr>
      <w:jc w:val="left"/>
    </w:pPr>
  </w:style>
  <w:style w:type="paragraph" w:styleId="14">
    <w:name w:val="Body Text"/>
    <w:basedOn w:val="1"/>
    <w:next w:val="1"/>
    <w:unhideWhenUsed/>
    <w:qFormat/>
    <w:uiPriority w:val="0"/>
    <w:pPr>
      <w:spacing w:after="120"/>
    </w:pPr>
  </w:style>
  <w:style w:type="paragraph" w:styleId="15">
    <w:name w:val="Body Text Indent"/>
    <w:basedOn w:val="1"/>
    <w:next w:val="16"/>
    <w:qFormat/>
    <w:uiPriority w:val="0"/>
    <w:pPr>
      <w:snapToGrid w:val="0"/>
      <w:spacing w:line="336" w:lineRule="auto"/>
      <w:ind w:firstLine="630"/>
    </w:pPr>
    <w:rPr>
      <w:sz w:val="32"/>
    </w:rPr>
  </w:style>
  <w:style w:type="paragraph" w:styleId="16">
    <w:name w:val="Body Text First Indent 2"/>
    <w:basedOn w:val="15"/>
    <w:next w:val="17"/>
    <w:qFormat/>
    <w:uiPriority w:val="0"/>
    <w:pPr>
      <w:tabs>
        <w:tab w:val="left" w:pos="5145"/>
        <w:tab w:val="left" w:pos="8400"/>
      </w:tabs>
      <w:spacing w:after="120" w:line="240" w:lineRule="auto"/>
      <w:ind w:left="420" w:leftChars="200" w:firstLine="420" w:firstLineChars="200"/>
    </w:pPr>
    <w:rPr>
      <w:rFonts w:ascii="Times New Roman" w:eastAsia="宋体"/>
      <w:color w:val="auto"/>
      <w:sz w:val="21"/>
      <w:szCs w:val="21"/>
    </w:rPr>
  </w:style>
  <w:style w:type="paragraph" w:styleId="17">
    <w:name w:val="Body Text First Indent"/>
    <w:basedOn w:val="14"/>
    <w:qFormat/>
    <w:uiPriority w:val="0"/>
    <w:pPr>
      <w:autoSpaceDE/>
      <w:autoSpaceDN/>
      <w:spacing w:after="120"/>
      <w:ind w:firstLine="420" w:firstLineChars="100"/>
      <w:jc w:val="both"/>
    </w:pPr>
    <w:rPr>
      <w:rFonts w:ascii="Calibri" w:hAnsi="Calibri" w:cs="黑体"/>
      <w:kern w:val="2"/>
      <w:sz w:val="21"/>
      <w:szCs w:val="20"/>
      <w:lang w:eastAsia="zh-CN" w:bidi="ar-SA"/>
    </w:rPr>
  </w:style>
  <w:style w:type="paragraph" w:styleId="18">
    <w:name w:val="toc 5"/>
    <w:basedOn w:val="1"/>
    <w:next w:val="1"/>
    <w:autoRedefine/>
    <w:unhideWhenUsed/>
    <w:qFormat/>
    <w:uiPriority w:val="39"/>
    <w:pPr>
      <w:ind w:left="840"/>
      <w:jc w:val="left"/>
    </w:pPr>
    <w:rPr>
      <w:rFonts w:eastAsiaTheme="minorHAnsi"/>
      <w:sz w:val="18"/>
      <w:szCs w:val="18"/>
    </w:rPr>
  </w:style>
  <w:style w:type="paragraph" w:styleId="19">
    <w:name w:val="toc 3"/>
    <w:basedOn w:val="1"/>
    <w:next w:val="1"/>
    <w:autoRedefine/>
    <w:unhideWhenUsed/>
    <w:qFormat/>
    <w:uiPriority w:val="39"/>
    <w:pPr>
      <w:ind w:left="420"/>
      <w:jc w:val="left"/>
    </w:pPr>
    <w:rPr>
      <w:rFonts w:eastAsiaTheme="minorHAnsi"/>
      <w:i/>
      <w:iCs/>
      <w:sz w:val="20"/>
      <w:szCs w:val="20"/>
    </w:rPr>
  </w:style>
  <w:style w:type="paragraph" w:styleId="20">
    <w:name w:val="toc 8"/>
    <w:basedOn w:val="1"/>
    <w:next w:val="1"/>
    <w:autoRedefine/>
    <w:unhideWhenUsed/>
    <w:qFormat/>
    <w:uiPriority w:val="39"/>
    <w:pPr>
      <w:ind w:left="1470"/>
      <w:jc w:val="left"/>
    </w:pPr>
    <w:rPr>
      <w:rFonts w:eastAsiaTheme="minorHAnsi"/>
      <w:sz w:val="18"/>
      <w:szCs w:val="18"/>
    </w:rPr>
  </w:style>
  <w:style w:type="paragraph" w:styleId="21">
    <w:name w:val="footer"/>
    <w:basedOn w:val="1"/>
    <w:link w:val="54"/>
    <w:unhideWhenUsed/>
    <w:qFormat/>
    <w:uiPriority w:val="99"/>
    <w:pPr>
      <w:tabs>
        <w:tab w:val="center" w:pos="4153"/>
        <w:tab w:val="right" w:pos="8306"/>
      </w:tabs>
      <w:snapToGrid w:val="0"/>
      <w:jc w:val="left"/>
    </w:pPr>
    <w:rPr>
      <w:sz w:val="18"/>
      <w:szCs w:val="18"/>
    </w:rPr>
  </w:style>
  <w:style w:type="paragraph" w:styleId="22">
    <w:name w:val="header"/>
    <w:basedOn w:val="1"/>
    <w:link w:val="53"/>
    <w:unhideWhenUsed/>
    <w:qFormat/>
    <w:uiPriority w:val="99"/>
    <w:pPr>
      <w:tabs>
        <w:tab w:val="center" w:pos="4153"/>
        <w:tab w:val="right" w:pos="8306"/>
      </w:tabs>
      <w:snapToGrid w:val="0"/>
      <w:jc w:val="center"/>
    </w:pPr>
    <w:rPr>
      <w:sz w:val="18"/>
      <w:szCs w:val="18"/>
    </w:rPr>
  </w:style>
  <w:style w:type="paragraph" w:styleId="23">
    <w:name w:val="toc 1"/>
    <w:basedOn w:val="1"/>
    <w:next w:val="1"/>
    <w:autoRedefine/>
    <w:unhideWhenUsed/>
    <w:qFormat/>
    <w:uiPriority w:val="39"/>
    <w:pPr>
      <w:spacing w:before="120" w:after="120"/>
      <w:jc w:val="left"/>
    </w:pPr>
    <w:rPr>
      <w:rFonts w:eastAsiaTheme="minorHAnsi"/>
      <w:b/>
      <w:bCs/>
      <w:caps/>
      <w:sz w:val="20"/>
      <w:szCs w:val="20"/>
    </w:rPr>
  </w:style>
  <w:style w:type="paragraph" w:styleId="24">
    <w:name w:val="toc 4"/>
    <w:basedOn w:val="1"/>
    <w:next w:val="1"/>
    <w:autoRedefine/>
    <w:unhideWhenUsed/>
    <w:qFormat/>
    <w:uiPriority w:val="39"/>
    <w:pPr>
      <w:ind w:left="630"/>
      <w:jc w:val="left"/>
    </w:pPr>
    <w:rPr>
      <w:rFonts w:eastAsiaTheme="minorHAnsi"/>
      <w:sz w:val="18"/>
      <w:szCs w:val="18"/>
    </w:rPr>
  </w:style>
  <w:style w:type="paragraph" w:styleId="25">
    <w:name w:val="Subtitle"/>
    <w:basedOn w:val="1"/>
    <w:next w:val="1"/>
    <w:link w:val="4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toc 6"/>
    <w:basedOn w:val="1"/>
    <w:next w:val="1"/>
    <w:autoRedefine/>
    <w:unhideWhenUsed/>
    <w:qFormat/>
    <w:uiPriority w:val="39"/>
    <w:pPr>
      <w:ind w:left="1050"/>
      <w:jc w:val="left"/>
    </w:pPr>
    <w:rPr>
      <w:rFonts w:eastAsiaTheme="minorHAnsi"/>
      <w:sz w:val="18"/>
      <w:szCs w:val="18"/>
    </w:rPr>
  </w:style>
  <w:style w:type="paragraph" w:styleId="27">
    <w:name w:val="toc 2"/>
    <w:basedOn w:val="1"/>
    <w:next w:val="1"/>
    <w:autoRedefine/>
    <w:unhideWhenUsed/>
    <w:qFormat/>
    <w:uiPriority w:val="39"/>
    <w:pPr>
      <w:ind w:left="210"/>
      <w:jc w:val="left"/>
    </w:pPr>
    <w:rPr>
      <w:rFonts w:eastAsiaTheme="minorHAnsi"/>
      <w:smallCaps/>
      <w:sz w:val="20"/>
      <w:szCs w:val="20"/>
    </w:rPr>
  </w:style>
  <w:style w:type="paragraph" w:styleId="28">
    <w:name w:val="toc 9"/>
    <w:basedOn w:val="1"/>
    <w:next w:val="1"/>
    <w:autoRedefine/>
    <w:unhideWhenUsed/>
    <w:qFormat/>
    <w:uiPriority w:val="39"/>
    <w:pPr>
      <w:ind w:left="1680"/>
      <w:jc w:val="left"/>
    </w:pPr>
    <w:rPr>
      <w:rFonts w:eastAsiaTheme="minorHAnsi"/>
      <w:sz w:val="18"/>
      <w:szCs w:val="18"/>
    </w:rPr>
  </w:style>
  <w:style w:type="paragraph" w:styleId="29">
    <w:name w:val="Title"/>
    <w:basedOn w:val="1"/>
    <w:next w:val="1"/>
    <w:link w:val="44"/>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Hyperlink"/>
    <w:basedOn w:val="32"/>
    <w:unhideWhenUsed/>
    <w:qFormat/>
    <w:uiPriority w:val="99"/>
    <w:rPr>
      <w:color w:val="467886" w:themeColor="hyperlink"/>
      <w:u w:val="single"/>
      <w14:textFill>
        <w14:solidFill>
          <w14:schemeClr w14:val="hlink"/>
        </w14:solidFill>
      </w14:textFill>
    </w:rPr>
  </w:style>
  <w:style w:type="character" w:customStyle="1" w:styleId="35">
    <w:name w:val="标题 1 字符"/>
    <w:basedOn w:val="32"/>
    <w:link w:val="2"/>
    <w:qFormat/>
    <w:uiPriority w:val="9"/>
    <w:rPr>
      <w:rFonts w:asciiTheme="majorHAnsi" w:hAnsiTheme="majorHAnsi" w:eastAsiaTheme="majorEastAsia" w:cstheme="majorBidi"/>
      <w:color w:val="104862" w:themeColor="accent1" w:themeShade="BF"/>
      <w:sz w:val="48"/>
      <w:szCs w:val="48"/>
    </w:rPr>
  </w:style>
  <w:style w:type="character" w:customStyle="1" w:styleId="36">
    <w:name w:val="标题 2 字符"/>
    <w:basedOn w:val="32"/>
    <w:link w:val="3"/>
    <w:qFormat/>
    <w:uiPriority w:val="9"/>
    <w:rPr>
      <w:rFonts w:asciiTheme="majorHAnsi" w:hAnsiTheme="majorHAnsi" w:eastAsiaTheme="majorEastAsia" w:cstheme="majorBidi"/>
      <w:color w:val="104862" w:themeColor="accent1" w:themeShade="BF"/>
      <w:sz w:val="40"/>
      <w:szCs w:val="40"/>
    </w:rPr>
  </w:style>
  <w:style w:type="character" w:customStyle="1" w:styleId="37">
    <w:name w:val="标题 3 字符"/>
    <w:basedOn w:val="32"/>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38">
    <w:name w:val="标题 4 字符"/>
    <w:basedOn w:val="32"/>
    <w:link w:val="5"/>
    <w:semiHidden/>
    <w:qFormat/>
    <w:uiPriority w:val="9"/>
    <w:rPr>
      <w:rFonts w:cstheme="majorBidi"/>
      <w:color w:val="104862" w:themeColor="accent1" w:themeShade="BF"/>
      <w:sz w:val="28"/>
      <w:szCs w:val="28"/>
    </w:rPr>
  </w:style>
  <w:style w:type="character" w:customStyle="1" w:styleId="39">
    <w:name w:val="标题 5 字符"/>
    <w:basedOn w:val="32"/>
    <w:link w:val="6"/>
    <w:semiHidden/>
    <w:qFormat/>
    <w:uiPriority w:val="9"/>
    <w:rPr>
      <w:rFonts w:cstheme="majorBidi"/>
      <w:color w:val="104862" w:themeColor="accent1" w:themeShade="BF"/>
      <w:sz w:val="24"/>
      <w:szCs w:val="24"/>
    </w:rPr>
  </w:style>
  <w:style w:type="character" w:customStyle="1" w:styleId="40">
    <w:name w:val="标题 6 字符"/>
    <w:basedOn w:val="32"/>
    <w:link w:val="7"/>
    <w:semiHidden/>
    <w:qFormat/>
    <w:uiPriority w:val="9"/>
    <w:rPr>
      <w:rFonts w:cstheme="majorBidi"/>
      <w:b/>
      <w:bCs/>
      <w:color w:val="104862" w:themeColor="accent1" w:themeShade="BF"/>
    </w:rPr>
  </w:style>
  <w:style w:type="character" w:customStyle="1" w:styleId="41">
    <w:name w:val="标题 7 字符"/>
    <w:basedOn w:val="32"/>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42">
    <w:name w:val="标题 8 字符"/>
    <w:basedOn w:val="32"/>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43">
    <w:name w:val="标题 9 字符"/>
    <w:basedOn w:val="32"/>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44">
    <w:name w:val="标题 字符"/>
    <w:basedOn w:val="32"/>
    <w:link w:val="29"/>
    <w:qFormat/>
    <w:uiPriority w:val="10"/>
    <w:rPr>
      <w:rFonts w:asciiTheme="majorHAnsi" w:hAnsiTheme="majorHAnsi" w:eastAsiaTheme="majorEastAsia" w:cstheme="majorBidi"/>
      <w:spacing w:val="-10"/>
      <w:kern w:val="28"/>
      <w:sz w:val="56"/>
      <w:szCs w:val="56"/>
    </w:rPr>
  </w:style>
  <w:style w:type="character" w:customStyle="1" w:styleId="45">
    <w:name w:val="副标题 字符"/>
    <w:basedOn w:val="32"/>
    <w:link w:val="2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6">
    <w:name w:val="Quote"/>
    <w:basedOn w:val="1"/>
    <w:next w:val="1"/>
    <w:link w:val="4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7">
    <w:name w:val="引用 字符"/>
    <w:basedOn w:val="32"/>
    <w:link w:val="46"/>
    <w:qFormat/>
    <w:uiPriority w:val="29"/>
    <w:rPr>
      <w:i/>
      <w:iCs/>
      <w:color w:val="404040" w:themeColor="text1" w:themeTint="BF"/>
      <w14:textFill>
        <w14:solidFill>
          <w14:schemeClr w14:val="tx1">
            <w14:lumMod w14:val="75000"/>
            <w14:lumOff w14:val="25000"/>
          </w14:schemeClr>
        </w14:solidFill>
      </w14:textFill>
    </w:rPr>
  </w:style>
  <w:style w:type="paragraph" w:styleId="48">
    <w:name w:val="List Paragraph"/>
    <w:basedOn w:val="1"/>
    <w:qFormat/>
    <w:uiPriority w:val="34"/>
    <w:pPr>
      <w:ind w:left="720"/>
      <w:contextualSpacing/>
    </w:pPr>
  </w:style>
  <w:style w:type="character" w:customStyle="1" w:styleId="49">
    <w:name w:val="Intense Emphasis"/>
    <w:basedOn w:val="32"/>
    <w:qFormat/>
    <w:uiPriority w:val="21"/>
    <w:rPr>
      <w:i/>
      <w:iCs/>
      <w:color w:val="104862" w:themeColor="accent1" w:themeShade="BF"/>
    </w:rPr>
  </w:style>
  <w:style w:type="paragraph" w:styleId="50">
    <w:name w:val="Intense Quote"/>
    <w:basedOn w:val="1"/>
    <w:next w:val="1"/>
    <w:link w:val="5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51">
    <w:name w:val="明显引用 字符"/>
    <w:basedOn w:val="32"/>
    <w:link w:val="50"/>
    <w:qFormat/>
    <w:uiPriority w:val="30"/>
    <w:rPr>
      <w:i/>
      <w:iCs/>
      <w:color w:val="104862" w:themeColor="accent1" w:themeShade="BF"/>
    </w:rPr>
  </w:style>
  <w:style w:type="character" w:customStyle="1" w:styleId="52">
    <w:name w:val="Intense Reference"/>
    <w:basedOn w:val="32"/>
    <w:qFormat/>
    <w:uiPriority w:val="32"/>
    <w:rPr>
      <w:b/>
      <w:bCs/>
      <w:smallCaps/>
      <w:color w:val="104862" w:themeColor="accent1" w:themeShade="BF"/>
      <w:spacing w:val="5"/>
    </w:rPr>
  </w:style>
  <w:style w:type="character" w:customStyle="1" w:styleId="53">
    <w:name w:val="页眉 字符"/>
    <w:basedOn w:val="32"/>
    <w:link w:val="22"/>
    <w:qFormat/>
    <w:uiPriority w:val="99"/>
    <w:rPr>
      <w:sz w:val="18"/>
      <w:szCs w:val="18"/>
    </w:rPr>
  </w:style>
  <w:style w:type="character" w:customStyle="1" w:styleId="54">
    <w:name w:val="页脚 字符"/>
    <w:basedOn w:val="32"/>
    <w:link w:val="21"/>
    <w:qFormat/>
    <w:uiPriority w:val="99"/>
    <w:rPr>
      <w:sz w:val="18"/>
      <w:szCs w:val="18"/>
    </w:rPr>
  </w:style>
  <w:style w:type="character" w:customStyle="1" w:styleId="55">
    <w:name w:val="font21"/>
    <w:basedOn w:val="32"/>
    <w:qFormat/>
    <w:uiPriority w:val="0"/>
    <w:rPr>
      <w:rFonts w:hint="default" w:ascii="Times New Roman" w:hAnsi="Times New Roman" w:cs="Times New Roman"/>
      <w:color w:val="000000"/>
      <w:sz w:val="21"/>
      <w:szCs w:val="21"/>
      <w:u w:val="none"/>
    </w:rPr>
  </w:style>
  <w:style w:type="character" w:customStyle="1" w:styleId="56">
    <w:name w:val="font41"/>
    <w:basedOn w:val="32"/>
    <w:qFormat/>
    <w:uiPriority w:val="0"/>
    <w:rPr>
      <w:rFonts w:hint="default" w:ascii="Times New Roman" w:hAnsi="Times New Roman" w:cs="Times New Roman"/>
      <w:color w:val="000000"/>
      <w:sz w:val="21"/>
      <w:szCs w:val="21"/>
      <w:u w:val="none"/>
      <w:vertAlign w:val="subscript"/>
    </w:rPr>
  </w:style>
  <w:style w:type="character" w:customStyle="1" w:styleId="57">
    <w:name w:val="font11"/>
    <w:basedOn w:val="32"/>
    <w:qFormat/>
    <w:uiPriority w:val="0"/>
    <w:rPr>
      <w:rFonts w:hint="default" w:ascii="仿宋" w:hAnsi="仿宋" w:eastAsia="仿宋" w:cs="仿宋"/>
      <w:color w:val="000000"/>
      <w:sz w:val="21"/>
      <w:szCs w:val="21"/>
      <w:u w:val="none"/>
    </w:rPr>
  </w:style>
  <w:style w:type="character" w:customStyle="1" w:styleId="58">
    <w:name w:val="font31"/>
    <w:basedOn w:val="3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Users/zhaofeng/Desktop/&#21271;&#20140;/&#32654;&#20122;/&#30899;&#36275;&#36857;&#26448;&#26009;/&#30899;&#36275;&#36857;&#26448;&#26009;/&#20135;&#21697;&#30899;&#36275;&#36857;&#36164;&#26009;&#25910;&#38598;&#28165;&#21333;(&#27719;&#246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'[产品碳足迹资料收集清单(汇总).xlsx]Sheet4'!$A$1</c:f>
              <c:strCache>
                <c:ptCount val="1"/>
                <c:pt idx="0">
                  <c:v>树脂</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'[产品碳足迹资料收集清单(汇总).xlsx]Sheet4'!$F$1</c:f>
              <c:numCache>
                <c:formatCode>0.00%</c:formatCode>
                <c:ptCount val="1"/>
                <c:pt idx="0">
                  <c:v>0.862352619962558</c:v>
                </c:pt>
              </c:numCache>
            </c:numRef>
          </c:val>
        </c:ser>
        <c:ser>
          <c:idx val="1"/>
          <c:order val="1"/>
          <c:tx>
            <c:strRef>
              <c:f>'[产品碳足迹资料收集清单(汇总).xlsx]Sheet4'!$A$2</c:f>
              <c:strCache>
                <c:ptCount val="1"/>
                <c:pt idx="0">
                  <c:v>石粉</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'[产品碳足迹资料收集清单(汇总).xlsx]Sheet4'!$F$2</c:f>
              <c:numCache>
                <c:formatCode>0.00%</c:formatCode>
                <c:ptCount val="1"/>
                <c:pt idx="0">
                  <c:v>0.0499004380101169</c:v>
                </c:pt>
              </c:numCache>
            </c:numRef>
          </c:val>
        </c:ser>
        <c:ser>
          <c:idx val="2"/>
          <c:order val="2"/>
          <c:tx>
            <c:strRef>
              <c:f>'[产品碳足迹资料收集清单(汇总).xlsx]Sheet4'!$A$3</c:f>
              <c:strCache>
                <c:ptCount val="1"/>
                <c:pt idx="0">
                  <c:v>塑料</c:v>
                </c:pt>
              </c:strCache>
            </c:strRef>
          </c:tx>
          <c:spPr>
            <a:solidFill>
              <a:schemeClr val="accent3"/>
            </a:solidFill>
            <a:ln>
              <a:noFill/>
            </a:ln>
            <a:effectLst/>
          </c:spPr>
          <c:invertIfNegative val="0"/>
          <c:dLbls>
            <c:delete val="1"/>
          </c:dLbls>
          <c:val>
            <c:numRef>
              <c:f>'[产品碳足迹资料收集清单(汇总).xlsx]Sheet4'!$F$3</c:f>
              <c:numCache>
                <c:formatCode>0.00%</c:formatCode>
                <c:ptCount val="1"/>
                <c:pt idx="0">
                  <c:v>0.00280198027421929</c:v>
                </c:pt>
              </c:numCache>
            </c:numRef>
          </c:val>
        </c:ser>
        <c:ser>
          <c:idx val="3"/>
          <c:order val="3"/>
          <c:tx>
            <c:strRef>
              <c:f>'[产品碳足迹资料收集清单(汇总).xlsx]Sheet4'!$A$4</c:f>
              <c:strCache>
                <c:ptCount val="1"/>
                <c:pt idx="0">
                  <c:v>纸箱</c:v>
                </c:pt>
              </c:strCache>
            </c:strRef>
          </c:tx>
          <c:spPr>
            <a:solidFill>
              <a:schemeClr val="accent4"/>
            </a:solidFill>
            <a:ln>
              <a:noFill/>
            </a:ln>
            <a:effectLst/>
          </c:spPr>
          <c:invertIfNegative val="0"/>
          <c:dLbls>
            <c:delete val="1"/>
          </c:dLbls>
          <c:val>
            <c:numRef>
              <c:f>'[产品碳足迹资料收集清单(汇总).xlsx]Sheet4'!$F$4</c:f>
              <c:numCache>
                <c:formatCode>0.00%</c:formatCode>
                <c:ptCount val="1"/>
                <c:pt idx="0">
                  <c:v>0.00256684672533397</c:v>
                </c:pt>
              </c:numCache>
            </c:numRef>
          </c:val>
        </c:ser>
        <c:ser>
          <c:idx val="4"/>
          <c:order val="4"/>
          <c:tx>
            <c:strRef>
              <c:f>'[产品碳足迹资料收集清单(汇总).xlsx]Sheet4'!$A$5</c:f>
              <c:strCache>
                <c:ptCount val="1"/>
                <c:pt idx="0">
                  <c:v>原材料运输</c:v>
                </c:pt>
              </c:strCache>
            </c:strRef>
          </c:tx>
          <c:spPr>
            <a:solidFill>
              <a:schemeClr val="accent5"/>
            </a:solidFill>
            <a:ln>
              <a:noFill/>
            </a:ln>
            <a:effectLst/>
          </c:spPr>
          <c:invertIfNegative val="0"/>
          <c:dLbls>
            <c:delete val="1"/>
          </c:dLbls>
          <c:val>
            <c:numRef>
              <c:f>'[产品碳足迹资料收集清单(汇总).xlsx]Sheet4'!$F$5</c:f>
              <c:numCache>
                <c:formatCode>0.00%</c:formatCode>
                <c:ptCount val="1"/>
                <c:pt idx="0">
                  <c:v>0.000916108952168709</c:v>
                </c:pt>
              </c:numCache>
            </c:numRef>
          </c:val>
        </c:ser>
        <c:ser>
          <c:idx val="5"/>
          <c:order val="5"/>
          <c:tx>
            <c:strRef>
              <c:f>'[产品碳足迹资料收集清单(汇总).xlsx]Sheet4'!$A$6</c:f>
              <c:strCache>
                <c:ptCount val="1"/>
                <c:pt idx="0">
                  <c:v>电力</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'[产品碳足迹资料收集清单(汇总).xlsx]Sheet4'!$F$6</c:f>
              <c:numCache>
                <c:formatCode>0.00%</c:formatCode>
                <c:ptCount val="1"/>
                <c:pt idx="0">
                  <c:v>0.0734517293692965</c:v>
                </c:pt>
              </c:numCache>
            </c:numRef>
          </c:val>
        </c:ser>
        <c:ser>
          <c:idx val="6"/>
          <c:order val="6"/>
          <c:tx>
            <c:strRef>
              <c:f>'[产品碳足迹资料收集清单(汇总).xlsx]Sheet4'!$A$7</c:f>
              <c:strCache>
                <c:ptCount val="1"/>
                <c:pt idx="0">
                  <c:v>天然气</c:v>
                </c:pt>
              </c:strCache>
            </c:strRef>
          </c:tx>
          <c:spPr>
            <a:solidFill>
              <a:schemeClr val="accent1">
                <a:lumMod val="60000"/>
              </a:schemeClr>
            </a:solidFill>
            <a:ln>
              <a:noFill/>
            </a:ln>
            <a:effectLst/>
          </c:spPr>
          <c:invertIfNegative val="0"/>
          <c:dLbls>
            <c:delete val="1"/>
          </c:dLbls>
          <c:val>
            <c:numRef>
              <c:f>'[产品碳足迹资料收集清单(汇总).xlsx]Sheet4'!$F$7</c:f>
              <c:numCache>
                <c:formatCode>0.00%</c:formatCode>
                <c:ptCount val="1"/>
                <c:pt idx="0">
                  <c:v>0.00753955127715091</c:v>
                </c:pt>
              </c:numCache>
            </c:numRef>
          </c:val>
        </c:ser>
        <c:ser>
          <c:idx val="7"/>
          <c:order val="7"/>
          <c:tx>
            <c:strRef>
              <c:f>'[产品碳足迹资料收集清单(汇总).xlsx]Sheet4'!$A$8</c:f>
              <c:strCache>
                <c:ptCount val="1"/>
                <c:pt idx="0">
                  <c:v>固废处理</c:v>
                </c:pt>
              </c:strCache>
            </c:strRef>
          </c:tx>
          <c:spPr>
            <a:solidFill>
              <a:schemeClr val="accent2">
                <a:lumMod val="60000"/>
              </a:schemeClr>
            </a:solidFill>
            <a:ln>
              <a:noFill/>
            </a:ln>
            <a:effectLst/>
          </c:spPr>
          <c:invertIfNegative val="0"/>
          <c:dLbls>
            <c:delete val="1"/>
          </c:dLbls>
          <c:val>
            <c:numRef>
              <c:f>'[产品碳足迹资料收集清单(汇总).xlsx]Sheet4'!$F$8</c:f>
              <c:numCache>
                <c:formatCode>0.00%</c:formatCode>
                <c:ptCount val="1"/>
                <c:pt idx="0">
                  <c:v>0.000469254949296231</c:v>
                </c:pt>
              </c:numCache>
            </c:numRef>
          </c:val>
        </c:ser>
        <c:ser>
          <c:idx val="8"/>
          <c:order val="8"/>
          <c:tx>
            <c:strRef>
              <c:f>'[产品碳足迹资料收集清单(汇总).xlsx]Sheet4'!$A$9</c:f>
              <c:strCache>
                <c:ptCount val="1"/>
                <c:pt idx="0">
                  <c:v>固废运输</c:v>
                </c:pt>
              </c:strCache>
            </c:strRef>
          </c:tx>
          <c:spPr>
            <a:solidFill>
              <a:schemeClr val="accent3">
                <a:lumMod val="60000"/>
              </a:schemeClr>
            </a:solidFill>
            <a:ln>
              <a:noFill/>
            </a:ln>
            <a:effectLst/>
          </c:spPr>
          <c:invertIfNegative val="0"/>
          <c:dLbls>
            <c:delete val="1"/>
          </c:dLbls>
          <c:val>
            <c:numRef>
              <c:f>'[产品碳足迹资料收集清单(汇总).xlsx]Sheet4'!$F$9</c:f>
              <c:numCache>
                <c:formatCode>0.00%</c:formatCode>
                <c:ptCount val="1"/>
                <c:pt idx="0">
                  <c:v>1.47047985901879e-6</c:v>
                </c:pt>
              </c:numCache>
            </c:numRef>
          </c:val>
        </c:ser>
        <c:dLbls>
          <c:showLegendKey val="0"/>
          <c:showVal val="1"/>
          <c:showCatName val="0"/>
          <c:showSerName val="0"/>
          <c:showPercent val="0"/>
          <c:showBubbleSize val="0"/>
        </c:dLbls>
        <c:gapWidth val="140"/>
        <c:overlap val="100"/>
        <c:axId val="953108404"/>
        <c:axId val="888000813"/>
      </c:barChart>
      <c:catAx>
        <c:axId val="953108404"/>
        <c:scaling>
          <c:orientation val="minMax"/>
        </c:scaling>
        <c:delete val="1"/>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贡献占比%</a:t>
                </a:r>
                <a:endParaRPr lang="en-US" altLang="zh-CN"/>
              </a:p>
            </c:rich>
          </c:tx>
          <c:layout/>
          <c:overlay val="0"/>
          <c:spPr>
            <a:noFill/>
            <a:ln>
              <a:noFill/>
            </a:ln>
            <a:effectLst/>
          </c:spPr>
        </c:title>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8000813"/>
        <c:crosses val="autoZero"/>
        <c:auto val="1"/>
        <c:lblAlgn val="ctr"/>
        <c:lblOffset val="100"/>
        <c:noMultiLvlLbl val="0"/>
      </c:catAx>
      <c:valAx>
        <c:axId val="888000813"/>
        <c:scaling>
          <c:orientation val="minMax"/>
        </c:scaling>
        <c:delete val="0"/>
        <c:axPos val="b"/>
        <c:majorGridlines>
          <c:spPr>
            <a:ln w="9525" cap="flat" cmpd="sng" algn="ctr">
              <a:solidFill>
                <a:schemeClr val="lt1">
                  <a:lumMod val="90200"/>
                </a:schemeClr>
              </a:solidFill>
              <a:round/>
            </a:ln>
            <a:effectLst/>
          </c:spPr>
        </c:majorGridlines>
        <c:numFmt formatCode="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310840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13561dd-6fc5-4797-a228-6b341eff311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3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CF1A8-A407-4EF8-ACEC-B7EC87E18AAD}">
  <ds:schemaRefs/>
</ds:datastoreItem>
</file>

<file path=docProps/app.xml><?xml version="1.0" encoding="utf-8"?>
<Properties xmlns="http://schemas.openxmlformats.org/officeDocument/2006/extended-properties" xmlns:vt="http://schemas.openxmlformats.org/officeDocument/2006/docPropsVTypes">
  <Template>Normal</Template>
  <Pages>20</Pages>
  <Words>3789</Words>
  <Characters>4295</Characters>
  <Lines>69</Lines>
  <Paragraphs>19</Paragraphs>
  <TotalTime>0</TotalTime>
  <ScaleCrop>false</ScaleCrop>
  <LinksUpToDate>false</LinksUpToDate>
  <CharactersWithSpaces>4423</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2024-10-29T10:47:00Z</dcterms:created>
  <dc:creator>成军 柳</dc:creator>
  <cp:lastModifiedBy>山水之间</cp:lastModifiedBy>
  <cp:lastPrinted>2025-03-02T16:24:00Z</cp:lastPrinted>
  <dcterms:modified xsi:type="dcterms:W3CDTF">2025-10-28T13:42:56Z</dcterms:modified>
  <cp:revision>266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eyJoZGlkIjoiNTdlN2ViZjQ2ZGMyODk0YTY2NzYxYjJmNzE0YzJmMTQiLCJ1c2VySWQiOiIzOTQ2MzM4NDQifQ==</vt:lpwstr>
  </property>
  <property fmtid="{D5CDD505-2E9C-101B-9397-08002B2CF9AE}" pid="3" name="KSOProductBuildVer">
    <vt:lpwstr>2052-12.1.0.22089</vt:lpwstr>
  </property>
  <property fmtid="{D5CDD505-2E9C-101B-9397-08002B2CF9AE}" pid="4" name="ICV">
    <vt:lpwstr>1440057E87795F2AB60C94681F6990D0_43</vt:lpwstr>
  </property>
</Properties>
</file>