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11697C">
      <w:pPr>
        <w:spacing w:line="360" w:lineRule="auto"/>
        <w:jc w:val="center"/>
        <w:rPr>
          <w:rFonts w:hint="eastAsia" w:ascii="Times New Roman" w:hAnsi="Times New Roman" w:eastAsia="宋体"/>
          <w:lang w:eastAsia="zh-CN"/>
        </w:rPr>
        <w:sectPr>
          <w:pgSz w:w="11906" w:h="16838"/>
          <w:pgMar w:top="0" w:right="0" w:bottom="0" w:left="0" w:header="851" w:footer="992" w:gutter="0"/>
          <w:cols w:space="425" w:num="1"/>
          <w:docGrid w:type="lines" w:linePitch="312" w:charSpace="0"/>
        </w:sectPr>
      </w:pPr>
      <w:r>
        <w:rPr>
          <w:rFonts w:hint="eastAsia" w:ascii="Times New Roman" w:hAnsi="Times New Roman" w:eastAsia="宋体"/>
          <w:lang w:eastAsia="zh-CN"/>
        </w:rPr>
        <w:drawing>
          <wp:inline distT="0" distB="0" distL="114300" distR="114300">
            <wp:extent cx="7504430" cy="10645140"/>
            <wp:effectExtent l="0" t="0" r="1270" b="3810"/>
            <wp:docPr id="4" name="图片 4" descr="美亚高新材料股份有限公司产品碳足迹报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美亚高新材料股份有限公司产品碳足迹报告-1"/>
                    <pic:cNvPicPr>
                      <a:picLocks noChangeAspect="1"/>
                    </pic:cNvPicPr>
                  </pic:nvPicPr>
                  <pic:blipFill>
                    <a:blip r:embed="rId7"/>
                    <a:stretch>
                      <a:fillRect/>
                    </a:stretch>
                  </pic:blipFill>
                  <pic:spPr>
                    <a:xfrm>
                      <a:off x="0" y="0"/>
                      <a:ext cx="7504430" cy="10645140"/>
                    </a:xfrm>
                    <a:prstGeom prst="rect">
                      <a:avLst/>
                    </a:prstGeom>
                  </pic:spPr>
                </pic:pic>
              </a:graphicData>
            </a:graphic>
          </wp:inline>
        </w:drawing>
      </w:r>
      <w:bookmarkStart w:id="30" w:name="_GoBack"/>
      <w:bookmarkEnd w:id="30"/>
    </w:p>
    <w:p w14:paraId="77FE468A">
      <w:pPr>
        <w:spacing w:line="360" w:lineRule="auto"/>
        <w:jc w:val="center"/>
        <w:rPr>
          <w:rFonts w:ascii="Times New Roman" w:hAnsi="Times New Roman" w:eastAsia="宋体"/>
        </w:rPr>
      </w:pPr>
    </w:p>
    <w:p w14:paraId="58589419">
      <w:pPr>
        <w:spacing w:line="360" w:lineRule="auto"/>
        <w:jc w:val="center"/>
        <w:rPr>
          <w:rFonts w:ascii="Times New Roman" w:hAnsi="Times New Roman" w:eastAsia="宋体"/>
        </w:rPr>
      </w:pPr>
    </w:p>
    <w:p w14:paraId="194950DC">
      <w:pPr>
        <w:spacing w:line="360" w:lineRule="auto"/>
        <w:jc w:val="center"/>
        <w:rPr>
          <w:rFonts w:ascii="Times New Roman" w:hAnsi="Times New Roman" w:eastAsia="宋体"/>
        </w:rPr>
      </w:pPr>
    </w:p>
    <w:p w14:paraId="65ACE405">
      <w:pPr>
        <w:spacing w:line="360" w:lineRule="auto"/>
        <w:jc w:val="center"/>
        <w:rPr>
          <w:rFonts w:ascii="Times New Roman" w:hAnsi="Times New Roman" w:eastAsia="宋体"/>
          <w:b/>
          <w:bCs/>
          <w:sz w:val="32"/>
          <w:szCs w:val="32"/>
        </w:rPr>
      </w:pPr>
      <w:r>
        <w:rPr>
          <w:rFonts w:hint="eastAsia" w:ascii="Times New Roman" w:hAnsi="Times New Roman" w:eastAsia="宋体"/>
          <w:b/>
          <w:bCs/>
          <w:sz w:val="32"/>
          <w:szCs w:val="32"/>
        </w:rPr>
        <w:t>目录</w:t>
      </w:r>
    </w:p>
    <w:p w14:paraId="61A9FA94">
      <w:pPr>
        <w:pStyle w:val="23"/>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b w:val="0"/>
          <w:bCs w:val="0"/>
          <w:sz w:val="32"/>
          <w:szCs w:val="32"/>
        </w:rPr>
        <w:fldChar w:fldCharType="begin"/>
      </w:r>
      <w:r>
        <w:rPr>
          <w:rFonts w:hint="default" w:ascii="Times New Roman Regular" w:hAnsi="Times New Roman Regular" w:eastAsia="宋体" w:cs="Times New Roman Regular"/>
          <w:b w:val="0"/>
          <w:bCs w:val="0"/>
          <w:sz w:val="32"/>
          <w:szCs w:val="32"/>
        </w:rPr>
        <w:instrText xml:space="preserve"> TOC \o "1-2" \h \z \u </w:instrText>
      </w:r>
      <w:r>
        <w:rPr>
          <w:rFonts w:hint="default" w:ascii="Times New Roman Regular" w:hAnsi="Times New Roman Regular" w:eastAsia="宋体" w:cs="Times New Roman Regular"/>
          <w:b w:val="0"/>
          <w:bCs w:val="0"/>
          <w:sz w:val="32"/>
          <w:szCs w:val="32"/>
        </w:rPr>
        <w:fldChar w:fldCharType="separate"/>
      </w:r>
      <w:r>
        <w:rPr>
          <w:rFonts w:hint="default" w:ascii="Times New Roman Regular" w:hAnsi="Times New Roman Regular" w:eastAsia="宋体" w:cs="Times New Roman Regular"/>
          <w:bCs w:val="0"/>
          <w:sz w:val="22"/>
          <w:szCs w:val="32"/>
        </w:rPr>
        <w:fldChar w:fldCharType="begin"/>
      </w:r>
      <w:r>
        <w:rPr>
          <w:rFonts w:hint="default" w:ascii="Times New Roman Regular" w:hAnsi="Times New Roman Regular" w:eastAsia="宋体" w:cs="Times New Roman Regular"/>
          <w:bCs w:val="0"/>
          <w:sz w:val="22"/>
          <w:szCs w:val="32"/>
        </w:rPr>
        <w:instrText xml:space="preserve"> HYPERLINK \l _Toc30093 </w:instrText>
      </w:r>
      <w:r>
        <w:rPr>
          <w:rFonts w:hint="default" w:ascii="Times New Roman Regular" w:hAnsi="Times New Roman Regular" w:eastAsia="宋体" w:cs="Times New Roman Regular"/>
          <w:bCs w:val="0"/>
          <w:sz w:val="22"/>
          <w:szCs w:val="32"/>
        </w:rPr>
        <w:fldChar w:fldCharType="separate"/>
      </w:r>
      <w:r>
        <w:rPr>
          <w:rFonts w:hint="default" w:ascii="Times New Roman Regular" w:hAnsi="Times New Roman Regular" w:eastAsia="宋体" w:cs="Times New Roman Regular"/>
          <w:bCs/>
          <w:sz w:val="22"/>
          <w:szCs w:val="40"/>
        </w:rPr>
        <w:t>一、 概况</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_Toc30093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bCs w:val="0"/>
          <w:sz w:val="22"/>
          <w:szCs w:val="32"/>
        </w:rPr>
        <w:fldChar w:fldCharType="end"/>
      </w:r>
    </w:p>
    <w:p w14:paraId="0804E224">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_Toc5243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1. 生产者信息</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_Toc5243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3EBE17B1">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_Toc8527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2. 产品信息</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_Toc8527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2</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70F82A83">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_Toc11173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3. 量化方法</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_Toc11173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3</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3075AFE0">
      <w:pPr>
        <w:pStyle w:val="23"/>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_Toc28960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40"/>
        </w:rPr>
        <w:t>二、 量化目的</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_Toc28960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4</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6A002701">
      <w:pPr>
        <w:pStyle w:val="23"/>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_Toc20072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40"/>
        </w:rPr>
        <w:t>三、 量化范围</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_Toc20072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4</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12F5B628">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_Toc23510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1. 功能单位或声明单位</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_Toc23510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4</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13DCC884">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_Toc30828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2. 系统边界</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_Toc30828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4</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3463E7C6">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_Toc30202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3. 取舍准则（截断</w:t>
      </w:r>
      <w:r>
        <w:rPr>
          <w:rFonts w:hint="default" w:ascii="Times New Roman Regular" w:hAnsi="Times New Roman Regular" w:eastAsia="宋体" w:cs="Times New Roman Regular"/>
          <w:bCs/>
          <w:sz w:val="22"/>
          <w:szCs w:val="36"/>
          <w:lang w:val="en-US" w:eastAsia="zh-CN"/>
        </w:rPr>
        <w:t xml:space="preserve"> cut-off</w:t>
      </w:r>
      <w:r>
        <w:rPr>
          <w:rFonts w:hint="default" w:ascii="Times New Roman Regular" w:hAnsi="Times New Roman Regular" w:eastAsia="宋体" w:cs="Times New Roman Regular"/>
          <w:bCs/>
          <w:sz w:val="22"/>
          <w:szCs w:val="36"/>
        </w:rPr>
        <w:t>）</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_Toc30202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5</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46550164">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_Toc23949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4. 时间范围</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_Toc23949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6</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240E45ED">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_Toc14220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5. 生产地点</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_Toc14220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6</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6EA825A6">
      <w:pPr>
        <w:pStyle w:val="23"/>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_Toc8984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40"/>
        </w:rPr>
        <w:t>四、 清单分析</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_Toc8984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7</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46DDF286">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_Toc12485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1. 数据来源说明</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_Toc12485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7</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18A6A544">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_Toc8189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2. 分配原则与程序</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_Toc8189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7</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7EABE1E9">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_Toc11787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3. 清单结果及计算</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_Toc11787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8</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73B2E53F">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_Toc3192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4. 数据质量评价</w:t>
      </w:r>
      <w:r>
        <w:rPr>
          <w:rFonts w:hint="default" w:ascii="Times New Roman Regular" w:hAnsi="Times New Roman Regular" w:eastAsia="宋体" w:cs="Times New Roman Regular"/>
          <w:bCs/>
          <w:sz w:val="22"/>
          <w:szCs w:val="36"/>
          <w:lang w:eastAsia="zh-CN"/>
        </w:rPr>
        <w:t>（</w:t>
      </w:r>
      <w:r>
        <w:rPr>
          <w:rFonts w:hint="default" w:ascii="Times New Roman Regular" w:hAnsi="Times New Roman Regular" w:eastAsia="宋体" w:cs="Times New Roman Regular"/>
          <w:bCs/>
          <w:sz w:val="22"/>
          <w:szCs w:val="36"/>
          <w:lang w:val="en-US" w:eastAsia="zh-CN"/>
        </w:rPr>
        <w:t>可选项</w:t>
      </w:r>
      <w:r>
        <w:rPr>
          <w:rFonts w:hint="default" w:ascii="Times New Roman Regular" w:hAnsi="Times New Roman Regular" w:eastAsia="宋体" w:cs="Times New Roman Regular"/>
          <w:bCs/>
          <w:sz w:val="22"/>
          <w:szCs w:val="36"/>
          <w:lang w:eastAsia="zh-CN"/>
        </w:rPr>
        <w:t>）</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_Toc3192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10</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3CDB4093">
      <w:pPr>
        <w:pStyle w:val="23"/>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_Toc32227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40"/>
        </w:rPr>
        <w:t>五、 影响评价</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_Toc32227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14</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5A6CFF11">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_Toc19360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1. 影响类型和特征化因子选择</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_Toc19360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14</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4BA52F59">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_Toc9757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2. 产品碳足迹结果计算</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_Toc9757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14</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190504D8">
      <w:pPr>
        <w:pStyle w:val="23"/>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_Toc3706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40"/>
        </w:rPr>
        <w:t>六、 结果解释</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_Toc3706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14</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03E4511C">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_Toc25878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1. 结果说明</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_Toc25878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14</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1FDA95A4">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_Toc3222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2. 假设和局限性说明</w:t>
      </w:r>
      <w:r>
        <w:rPr>
          <w:rFonts w:hint="default" w:ascii="Times New Roman Regular" w:hAnsi="Times New Roman Regular" w:eastAsia="宋体" w:cs="Times New Roman Regular"/>
          <w:bCs/>
          <w:sz w:val="22"/>
          <w:szCs w:val="36"/>
          <w:lang w:eastAsia="zh-CN"/>
        </w:rPr>
        <w:t>（</w:t>
      </w:r>
      <w:r>
        <w:rPr>
          <w:rFonts w:hint="default" w:ascii="Times New Roman Regular" w:hAnsi="Times New Roman Regular" w:eastAsia="宋体" w:cs="Times New Roman Regular"/>
          <w:bCs/>
          <w:sz w:val="22"/>
          <w:szCs w:val="36"/>
          <w:lang w:val="en-US" w:eastAsia="zh-CN"/>
        </w:rPr>
        <w:t>可选项</w:t>
      </w:r>
      <w:r>
        <w:rPr>
          <w:rFonts w:hint="default" w:ascii="Times New Roman Regular" w:hAnsi="Times New Roman Regular" w:eastAsia="宋体" w:cs="Times New Roman Regular"/>
          <w:bCs/>
          <w:sz w:val="22"/>
          <w:szCs w:val="36"/>
          <w:lang w:eastAsia="zh-CN"/>
        </w:rPr>
        <w:t>）</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_Toc3222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16</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5DDA5BC9">
      <w:pPr>
        <w:pStyle w:val="27"/>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_Toc17609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36"/>
        </w:rPr>
        <w:t>3. 改进建议</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_Toc17609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17</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1F473087">
      <w:pPr>
        <w:pStyle w:val="23"/>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_Toc15882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40"/>
        </w:rPr>
        <w:t>附件1. 参考文献</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_Toc15882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18</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16E0B5DA">
      <w:pPr>
        <w:pStyle w:val="23"/>
        <w:tabs>
          <w:tab w:val="right" w:leader="dot" w:pos="8306"/>
        </w:tabs>
        <w:rPr>
          <w:rFonts w:hint="default" w:ascii="Times New Roman Regular" w:hAnsi="Times New Roman Regular" w:cs="Times New Roman Regular"/>
          <w:sz w:val="22"/>
          <w:szCs w:val="22"/>
        </w:rPr>
      </w:pPr>
      <w:r>
        <w:rPr>
          <w:rFonts w:hint="default" w:ascii="Times New Roman Regular" w:hAnsi="Times New Roman Regular" w:eastAsia="宋体" w:cs="Times New Roman Regular"/>
          <w:sz w:val="22"/>
          <w:szCs w:val="32"/>
        </w:rPr>
        <w:fldChar w:fldCharType="begin"/>
      </w:r>
      <w:r>
        <w:rPr>
          <w:rFonts w:hint="default" w:ascii="Times New Roman Regular" w:hAnsi="Times New Roman Regular" w:eastAsia="宋体" w:cs="Times New Roman Regular"/>
          <w:sz w:val="22"/>
          <w:szCs w:val="32"/>
        </w:rPr>
        <w:instrText xml:space="preserve"> HYPERLINK \l _Toc8942 </w:instrText>
      </w:r>
      <w:r>
        <w:rPr>
          <w:rFonts w:hint="default" w:ascii="Times New Roman Regular" w:hAnsi="Times New Roman Regular" w:eastAsia="宋体" w:cs="Times New Roman Regular"/>
          <w:sz w:val="22"/>
          <w:szCs w:val="32"/>
        </w:rPr>
        <w:fldChar w:fldCharType="separate"/>
      </w:r>
      <w:r>
        <w:rPr>
          <w:rFonts w:hint="default" w:ascii="Times New Roman Regular" w:hAnsi="Times New Roman Regular" w:eastAsia="宋体" w:cs="Times New Roman Regular"/>
          <w:bCs/>
          <w:sz w:val="22"/>
          <w:szCs w:val="40"/>
        </w:rPr>
        <w:t>附件2. 引用背景过程</w:t>
      </w:r>
      <w:r>
        <w:rPr>
          <w:rFonts w:hint="default" w:ascii="Times New Roman Regular" w:hAnsi="Times New Roman Regular" w:cs="Times New Roman Regular"/>
          <w:sz w:val="22"/>
          <w:szCs w:val="22"/>
        </w:rPr>
        <w:tab/>
      </w:r>
      <w:r>
        <w:rPr>
          <w:rFonts w:hint="default" w:ascii="Times New Roman Regular" w:hAnsi="Times New Roman Regular" w:cs="Times New Roman Regular"/>
          <w:sz w:val="22"/>
          <w:szCs w:val="22"/>
        </w:rPr>
        <w:fldChar w:fldCharType="begin"/>
      </w:r>
      <w:r>
        <w:rPr>
          <w:rFonts w:hint="default" w:ascii="Times New Roman Regular" w:hAnsi="Times New Roman Regular" w:cs="Times New Roman Regular"/>
          <w:sz w:val="22"/>
          <w:szCs w:val="22"/>
        </w:rPr>
        <w:instrText xml:space="preserve"> PAGEREF _Toc8942 \h </w:instrText>
      </w:r>
      <w:r>
        <w:rPr>
          <w:rFonts w:hint="default" w:ascii="Times New Roman Regular" w:hAnsi="Times New Roman Regular" w:cs="Times New Roman Regular"/>
          <w:sz w:val="22"/>
          <w:szCs w:val="22"/>
        </w:rPr>
        <w:fldChar w:fldCharType="separate"/>
      </w:r>
      <w:r>
        <w:rPr>
          <w:rFonts w:hint="default" w:ascii="Times New Roman Regular" w:hAnsi="Times New Roman Regular" w:cs="Times New Roman Regular"/>
          <w:sz w:val="22"/>
          <w:szCs w:val="22"/>
        </w:rPr>
        <w:t>19</w:t>
      </w:r>
      <w:r>
        <w:rPr>
          <w:rFonts w:hint="default" w:ascii="Times New Roman Regular" w:hAnsi="Times New Roman Regular" w:cs="Times New Roman Regular"/>
          <w:sz w:val="22"/>
          <w:szCs w:val="22"/>
        </w:rPr>
        <w:fldChar w:fldCharType="end"/>
      </w:r>
      <w:r>
        <w:rPr>
          <w:rFonts w:hint="default" w:ascii="Times New Roman Regular" w:hAnsi="Times New Roman Regular" w:eastAsia="宋体" w:cs="Times New Roman Regular"/>
          <w:sz w:val="22"/>
          <w:szCs w:val="32"/>
        </w:rPr>
        <w:fldChar w:fldCharType="end"/>
      </w:r>
    </w:p>
    <w:p w14:paraId="73B13874">
      <w:pPr>
        <w:spacing w:line="300" w:lineRule="auto"/>
        <w:rPr>
          <w:rFonts w:ascii="Times New Roman" w:hAnsi="Times New Roman" w:eastAsia="宋体"/>
        </w:rPr>
      </w:pPr>
      <w:r>
        <w:rPr>
          <w:rFonts w:hint="default" w:ascii="Times New Roman Regular" w:hAnsi="Times New Roman Regular" w:eastAsia="宋体" w:cs="Times New Roman Regular"/>
          <w:sz w:val="24"/>
          <w:szCs w:val="32"/>
        </w:rPr>
        <w:fldChar w:fldCharType="end"/>
      </w:r>
    </w:p>
    <w:p w14:paraId="70CFBC83">
      <w:pPr>
        <w:spacing w:line="360" w:lineRule="auto"/>
        <w:rPr>
          <w:rFonts w:ascii="Times New Roman" w:hAnsi="Times New Roman" w:eastAsia="宋体"/>
        </w:rPr>
        <w:sectPr>
          <w:headerReference r:id="rId3" w:type="default"/>
          <w:footerReference r:id="rId4" w:type="default"/>
          <w:pgSz w:w="11906" w:h="16838"/>
          <w:pgMar w:top="1440" w:right="1800" w:bottom="1440" w:left="1800" w:header="851" w:footer="992" w:gutter="0"/>
          <w:pgNumType w:fmt="lowerRoman" w:start="1"/>
          <w:cols w:space="425" w:num="1"/>
          <w:docGrid w:type="lines" w:linePitch="312" w:charSpace="0"/>
        </w:sectPr>
      </w:pPr>
    </w:p>
    <w:p w14:paraId="6384CFEE">
      <w:pPr>
        <w:pStyle w:val="2"/>
        <w:keepNext w:val="0"/>
        <w:keepLines w:val="0"/>
        <w:numPr>
          <w:ilvl w:val="0"/>
          <w:numId w:val="1"/>
        </w:numPr>
        <w:spacing w:before="80" w:line="360" w:lineRule="auto"/>
        <w:ind w:left="442" w:hanging="442"/>
        <w:rPr>
          <w:rFonts w:ascii="Times New Roman" w:hAnsi="Times New Roman" w:eastAsia="宋体"/>
          <w:b/>
          <w:bCs/>
          <w:color w:val="auto"/>
          <w:sz w:val="32"/>
          <w:szCs w:val="32"/>
        </w:rPr>
      </w:pPr>
      <w:bookmarkStart w:id="0" w:name="_Toc30093"/>
      <w:r>
        <w:rPr>
          <w:rFonts w:hint="eastAsia" w:ascii="Times New Roman" w:hAnsi="Times New Roman" w:eastAsia="宋体"/>
          <w:b/>
          <w:bCs/>
          <w:color w:val="auto"/>
          <w:sz w:val="32"/>
          <w:szCs w:val="32"/>
        </w:rPr>
        <w:t>概况</w:t>
      </w:r>
      <w:bookmarkEnd w:id="0"/>
    </w:p>
    <w:p w14:paraId="7929BECA">
      <w:pPr>
        <w:pStyle w:val="3"/>
        <w:keepNext w:val="0"/>
        <w:keepLines w:val="0"/>
        <w:numPr>
          <w:ilvl w:val="0"/>
          <w:numId w:val="2"/>
        </w:numPr>
        <w:spacing w:before="80" w:line="360" w:lineRule="auto"/>
        <w:ind w:left="442" w:hanging="442"/>
        <w:rPr>
          <w:rFonts w:ascii="Times New Roman" w:hAnsi="Times New Roman" w:eastAsia="宋体"/>
          <w:b/>
          <w:bCs/>
          <w:color w:val="auto"/>
          <w:sz w:val="28"/>
          <w:szCs w:val="28"/>
        </w:rPr>
      </w:pPr>
      <w:bookmarkStart w:id="1" w:name="_Toc5243"/>
      <w:r>
        <w:rPr>
          <w:rFonts w:hint="eastAsia" w:ascii="Times New Roman" w:hAnsi="Times New Roman" w:eastAsia="宋体"/>
          <w:b/>
          <w:bCs/>
          <w:color w:val="auto"/>
          <w:sz w:val="28"/>
          <w:szCs w:val="28"/>
        </w:rPr>
        <w:t>生产者信息</w:t>
      </w:r>
      <w:bookmarkEnd w:id="1"/>
    </w:p>
    <w:p w14:paraId="518949B6">
      <w:pPr>
        <w:spacing w:line="360" w:lineRule="auto"/>
        <w:ind w:firstLine="480" w:firstLineChars="200"/>
        <w:rPr>
          <w:rFonts w:hint="eastAsia" w:ascii="Times New Roman" w:hAnsi="Times New Roman" w:eastAsia="宋体"/>
          <w:sz w:val="24"/>
          <w:szCs w:val="28"/>
          <w:lang w:eastAsia="zh-CN"/>
        </w:rPr>
      </w:pPr>
      <w:r>
        <w:rPr>
          <w:rFonts w:hint="eastAsia" w:ascii="Times New Roman" w:hAnsi="Times New Roman" w:eastAsia="宋体"/>
          <w:sz w:val="24"/>
          <w:szCs w:val="28"/>
        </w:rPr>
        <w:t>生产者名称：</w:t>
      </w:r>
      <w:r>
        <w:rPr>
          <w:rFonts w:hint="eastAsia" w:ascii="Times New Roman" w:hAnsi="Times New Roman" w:eastAsia="宋体"/>
          <w:sz w:val="24"/>
          <w:szCs w:val="28"/>
          <w:lang w:eastAsia="zh-CN"/>
        </w:rPr>
        <w:t>美亚高新材料股份有限公司</w:t>
      </w:r>
    </w:p>
    <w:p w14:paraId="1ADDAE8D">
      <w:pPr>
        <w:spacing w:line="360" w:lineRule="auto"/>
        <w:ind w:firstLine="480" w:firstLineChars="200"/>
        <w:rPr>
          <w:rFonts w:hint="eastAsia" w:ascii="Times New Roman" w:hAnsi="Times New Roman" w:eastAsia="宋体"/>
          <w:sz w:val="24"/>
          <w:szCs w:val="28"/>
          <w:lang w:eastAsia="zh-CN"/>
        </w:rPr>
      </w:pPr>
      <w:r>
        <w:rPr>
          <w:rFonts w:hint="eastAsia" w:ascii="Times New Roman" w:hAnsi="Times New Roman" w:eastAsia="宋体"/>
          <w:sz w:val="24"/>
          <w:szCs w:val="28"/>
        </w:rPr>
        <w:t>地址：淮南市谢家集区卧园路南侧</w:t>
      </w:r>
    </w:p>
    <w:p w14:paraId="457E0C1F">
      <w:pPr>
        <w:spacing w:line="360" w:lineRule="auto"/>
        <w:ind w:firstLine="480" w:firstLineChars="200"/>
        <w:rPr>
          <w:rFonts w:ascii="Times New Roman" w:hAnsi="Times New Roman" w:eastAsia="宋体"/>
          <w:sz w:val="24"/>
          <w:szCs w:val="28"/>
        </w:rPr>
      </w:pPr>
      <w:r>
        <w:rPr>
          <w:rFonts w:hint="eastAsia" w:ascii="Times New Roman" w:hAnsi="Times New Roman" w:eastAsia="宋体"/>
          <w:sz w:val="24"/>
          <w:szCs w:val="28"/>
        </w:rPr>
        <w:t>法定代表人：吴长庚</w:t>
      </w:r>
    </w:p>
    <w:p w14:paraId="0FA3E43F">
      <w:pPr>
        <w:spacing w:line="360" w:lineRule="auto"/>
        <w:ind w:firstLine="480" w:firstLineChars="200"/>
        <w:rPr>
          <w:rFonts w:hint="default" w:ascii="Times New Roman" w:hAnsi="Times New Roman" w:eastAsia="宋体"/>
          <w:sz w:val="24"/>
          <w:szCs w:val="28"/>
          <w:lang w:val="en-US" w:eastAsia="zh-CN"/>
        </w:rPr>
      </w:pPr>
      <w:r>
        <w:rPr>
          <w:rFonts w:hint="eastAsia" w:ascii="Times New Roman" w:hAnsi="Times New Roman" w:eastAsia="宋体"/>
          <w:sz w:val="24"/>
          <w:szCs w:val="28"/>
        </w:rPr>
        <w:t>授权人（联系人）：</w:t>
      </w:r>
      <w:r>
        <w:rPr>
          <w:rFonts w:hint="eastAsia" w:ascii="Times New Roman" w:hAnsi="Times New Roman" w:eastAsia="宋体"/>
          <w:sz w:val="24"/>
          <w:szCs w:val="28"/>
          <w:lang w:val="en-US" w:eastAsia="zh-CN"/>
        </w:rPr>
        <w:t>唐保国</w:t>
      </w:r>
    </w:p>
    <w:p w14:paraId="1D77F658">
      <w:pPr>
        <w:spacing w:line="360" w:lineRule="auto"/>
        <w:ind w:firstLine="480" w:firstLineChars="200"/>
        <w:rPr>
          <w:rFonts w:hint="default" w:ascii="Times New Roman" w:hAnsi="Times New Roman" w:eastAsia="宋体"/>
          <w:sz w:val="24"/>
          <w:szCs w:val="28"/>
          <w:lang w:val="en-US" w:eastAsia="zh-CN"/>
        </w:rPr>
      </w:pPr>
      <w:r>
        <w:rPr>
          <w:rFonts w:hint="eastAsia" w:ascii="Times New Roman" w:hAnsi="Times New Roman" w:eastAsia="宋体"/>
          <w:sz w:val="24"/>
          <w:szCs w:val="28"/>
        </w:rPr>
        <w:t>联系电话：</w:t>
      </w:r>
      <w:r>
        <w:rPr>
          <w:rFonts w:hint="eastAsia" w:ascii="Times New Roman" w:hAnsi="Times New Roman" w:eastAsia="宋体"/>
          <w:sz w:val="24"/>
          <w:szCs w:val="28"/>
          <w:lang w:val="en-US" w:eastAsia="zh-CN"/>
        </w:rPr>
        <w:t>18605548863</w:t>
      </w:r>
    </w:p>
    <w:p w14:paraId="692A0EB1">
      <w:pPr>
        <w:spacing w:line="360" w:lineRule="auto"/>
        <w:ind w:firstLine="480" w:firstLineChars="200"/>
        <w:rPr>
          <w:rFonts w:hint="eastAsia" w:ascii="Times New Roman" w:hAnsi="Times New Roman" w:eastAsia="宋体"/>
          <w:sz w:val="24"/>
          <w:szCs w:val="28"/>
        </w:rPr>
      </w:pPr>
      <w:r>
        <w:rPr>
          <w:rFonts w:hint="eastAsia" w:ascii="Times New Roman" w:hAnsi="Times New Roman" w:eastAsia="宋体"/>
          <w:sz w:val="24"/>
          <w:szCs w:val="28"/>
        </w:rPr>
        <w:t>企业概况：美亚高新材料股份有限公司(以下简称“公司”)前身为淮南矿务局合成材料厂，原煤炭部支护材料定点生产企业，国家水煤浆工程技术研究中心淮南生产基地。2016年2月，经国家工商总局核准，更名为美亚高新材料股份有限公司。位于安徽淮南国家级高新技术产业开发区，注册资本5600万元。2015年4月挂牌新三板，证券简称：美亚高新，证券代码：832263。</w:t>
      </w:r>
    </w:p>
    <w:p w14:paraId="3D76B98D">
      <w:pPr>
        <w:spacing w:line="360" w:lineRule="auto"/>
        <w:ind w:firstLine="480" w:firstLineChars="200"/>
        <w:rPr>
          <w:rFonts w:hint="eastAsia" w:ascii="Times New Roman" w:hAnsi="Times New Roman" w:eastAsia="宋体"/>
          <w:sz w:val="24"/>
          <w:szCs w:val="28"/>
        </w:rPr>
      </w:pPr>
      <w:r>
        <w:rPr>
          <w:rFonts w:hint="eastAsia" w:ascii="Times New Roman" w:hAnsi="Times New Roman" w:eastAsia="宋体"/>
          <w:sz w:val="24"/>
          <w:szCs w:val="28"/>
        </w:rPr>
        <w:t>公司主要生产经营研发树脂锚固剂、金属锚杆、玻璃钢锚杆、矿用加固材料等矿用支护产品以及不饱和聚酯树脂、高效减水剂等系列产品，广泛应用于矿山、建筑、水利、水电等，曾用于长江三峡、黄河小浪底水利枢纽、青藏铁路、北京奥运场馆、上海世博会展馆、特大型煤矿等国家重点工程。</w:t>
      </w:r>
    </w:p>
    <w:p w14:paraId="555EF789">
      <w:pPr>
        <w:spacing w:line="360" w:lineRule="auto"/>
        <w:ind w:firstLine="480" w:firstLineChars="200"/>
        <w:rPr>
          <w:rFonts w:hint="eastAsia" w:ascii="Times New Roman" w:hAnsi="Times New Roman" w:eastAsia="宋体"/>
          <w:sz w:val="24"/>
          <w:szCs w:val="28"/>
        </w:rPr>
      </w:pPr>
      <w:r>
        <w:rPr>
          <w:rFonts w:hint="eastAsia" w:ascii="Times New Roman" w:hAnsi="Times New Roman" w:eastAsia="宋体"/>
          <w:sz w:val="24"/>
          <w:szCs w:val="28"/>
        </w:rPr>
        <w:t>50年来，公司跟进矿用支护先进技术发展，以国际化视野，先后与德国、英国、美国、澳大利亚、加拿大等国际专业化公司进行交流。加强与中国矿业大学、华东理工大学、安徽理工大学、煤炭科学研究总院等高等院所合作，不断改进技术，提升品质，取得了一系列行业领先的技术成果。自主研发了全长预应力锚固剂、超长双速锚固剂、早高强锚固剂、矿用化学加固材料等产品，累计拥有各项专利50多件，不断提升核心竞争力。</w:t>
      </w:r>
    </w:p>
    <w:p w14:paraId="6AA126AD">
      <w:pPr>
        <w:spacing w:line="360" w:lineRule="auto"/>
        <w:ind w:firstLine="480" w:firstLineChars="200"/>
        <w:rPr>
          <w:rFonts w:hint="eastAsia" w:ascii="Times New Roman" w:hAnsi="Times New Roman" w:eastAsia="宋体"/>
          <w:sz w:val="24"/>
          <w:szCs w:val="28"/>
        </w:rPr>
      </w:pPr>
      <w:r>
        <w:rPr>
          <w:rFonts w:hint="eastAsia" w:ascii="Times New Roman" w:hAnsi="Times New Roman" w:eastAsia="宋体"/>
          <w:sz w:val="24"/>
          <w:szCs w:val="28"/>
        </w:rPr>
        <w:t>作为树脂锚固剂行业标准主要起草（修订）单位之一，目前拥有自主核心技术自动化生产线十条，具备年产1亿支锚固剂能力，其工艺技术、装备、规模等均属国内一流、世界先进，曾荣获国家科技发明三等奖、国家科技进步三等奖、煤炭部科技进步一等奖和首届中国青年科技成果博览会金奖，安徽省高新技术产品、安徽名牌产品、安徽工业精品、安徽省首批次新材料，“美亚”为中国驰名商标，入选安徽省首批商标保护目录。</w:t>
      </w:r>
    </w:p>
    <w:p w14:paraId="2F119B5A">
      <w:pPr>
        <w:spacing w:line="360" w:lineRule="auto"/>
        <w:ind w:firstLine="480" w:firstLineChars="200"/>
        <w:rPr>
          <w:rFonts w:hint="eastAsia" w:ascii="Times New Roman" w:hAnsi="Times New Roman" w:eastAsia="宋体"/>
          <w:sz w:val="24"/>
          <w:szCs w:val="28"/>
        </w:rPr>
      </w:pPr>
      <w:r>
        <w:rPr>
          <w:rFonts w:hint="eastAsia" w:ascii="Times New Roman" w:hAnsi="Times New Roman" w:eastAsia="宋体"/>
          <w:sz w:val="24"/>
          <w:szCs w:val="28"/>
        </w:rPr>
        <w:t>公司先后被认定为国家高新技术企业，全国守合同重信用企业，全国煤炭环境保护优秀单位，全国煤矿支护先进单位，国家知识产权优势企业，全国模范职工之家，全国企业文化优秀成果二等奖，安徽省“专精特新”冠军企业、省博士后科研工作站、省企业技术中心、省化学锚固工程技术研究中心、省研发中心、省创新型企业、省产学研联合示范企业、省技术创新示范企业、省制造业高端品牌培育企业、省皖美品牌示范企业、省绿色工厂、省数字化车间，淮南市第四届和第十届市长质量奖等称号，入选首届长三角国际化品牌创新案例。</w:t>
      </w:r>
    </w:p>
    <w:p w14:paraId="39C92D3F">
      <w:pPr>
        <w:spacing w:line="360" w:lineRule="auto"/>
        <w:ind w:firstLine="480" w:firstLineChars="200"/>
        <w:rPr>
          <w:rFonts w:hint="default" w:ascii="Times New Roman" w:hAnsi="Times New Roman" w:eastAsia="宋体"/>
          <w:i w:val="0"/>
          <w:iCs w:val="0"/>
          <w:color w:val="auto"/>
          <w:sz w:val="24"/>
          <w:szCs w:val="28"/>
          <w:lang w:val="en-US" w:eastAsia="zh-CN"/>
        </w:rPr>
      </w:pPr>
      <w:r>
        <w:rPr>
          <w:rFonts w:hint="eastAsia" w:ascii="Times New Roman" w:hAnsi="Times New Roman" w:eastAsia="宋体"/>
          <w:sz w:val="24"/>
          <w:szCs w:val="28"/>
        </w:rPr>
        <w:t>公司以打造百年企业、百年产业为愿景，创建新文化，打造新优势，提升软实力，确立了“做好企业、造福职工，奉献社会”的企业宗旨，“争夺中国制造锚固剂冠军”的发展战略，“创业、创新、创造”的企业精神等企业理念，建设本土化本质化的企业文化，不断增强企业的凝聚力、向心力、竞争力，推进企业可持续发展，永葆基业长青。</w:t>
      </w:r>
    </w:p>
    <w:p w14:paraId="3BA6DEB5">
      <w:pPr>
        <w:pStyle w:val="16"/>
        <w:ind w:left="0" w:leftChars="0" w:firstLine="0" w:firstLineChars="0"/>
        <w:jc w:val="center"/>
        <w:rPr>
          <w:rFonts w:hint="default"/>
          <w:lang w:val="en-US"/>
        </w:rPr>
      </w:pPr>
      <w:r>
        <w:rPr>
          <w:snapToGrid/>
        </w:rPr>
        <w:drawing>
          <wp:inline distT="0" distB="0" distL="0" distR="0">
            <wp:extent cx="4212590" cy="2807335"/>
            <wp:effectExtent l="0" t="0" r="3810" b="12065"/>
            <wp:docPr id="9" name="图片 9" descr="C:\Documents and Settings\Administrator\桌面\中外管理配图\公司图片\DJI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Documents and Settings\Administrator\桌面\中外管理配图\公司图片\DJI_0373.JPG"/>
                    <pic:cNvPicPr>
                      <a:picLocks noChangeAspect="1" noChangeArrowheads="1"/>
                    </pic:cNvPicPr>
                  </pic:nvPicPr>
                  <pic:blipFill>
                    <a:blip r:embed="rId8" cstate="print"/>
                    <a:srcRect/>
                    <a:stretch>
                      <a:fillRect/>
                    </a:stretch>
                  </pic:blipFill>
                  <pic:spPr>
                    <a:xfrm>
                      <a:off x="0" y="0"/>
                      <a:ext cx="4220711" cy="2812882"/>
                    </a:xfrm>
                    <a:prstGeom prst="rect">
                      <a:avLst/>
                    </a:prstGeom>
                    <a:noFill/>
                    <a:ln w="9525">
                      <a:noFill/>
                      <a:miter lim="800000"/>
                      <a:headEnd/>
                      <a:tailEnd/>
                    </a:ln>
                  </pic:spPr>
                </pic:pic>
              </a:graphicData>
            </a:graphic>
          </wp:inline>
        </w:drawing>
      </w:r>
    </w:p>
    <w:p w14:paraId="668AEF67">
      <w:pPr>
        <w:spacing w:line="360" w:lineRule="auto"/>
        <w:jc w:val="center"/>
        <w:rPr>
          <w:rFonts w:hint="eastAsia" w:ascii="Times New Roman" w:hAnsi="Times New Roman" w:eastAsia="宋体"/>
          <w:sz w:val="24"/>
          <w:szCs w:val="28"/>
        </w:rPr>
      </w:pPr>
      <w:r>
        <w:rPr>
          <w:rFonts w:hint="eastAsia" w:ascii="Times New Roman" w:hAnsi="Times New Roman" w:eastAsia="宋体"/>
          <w:b/>
          <w:bCs/>
          <w:i w:val="0"/>
          <w:iCs w:val="0"/>
          <w:color w:val="auto"/>
          <w:lang w:val="en-US" w:eastAsia="zh-CN"/>
        </w:rPr>
        <w:t>图1-1 美亚高新材料股份</w:t>
      </w:r>
      <w:r>
        <w:rPr>
          <w:rFonts w:hint="default" w:ascii="Times New Roman" w:hAnsi="Times New Roman" w:eastAsia="宋体"/>
          <w:b/>
          <w:bCs/>
          <w:i w:val="0"/>
          <w:iCs w:val="0"/>
          <w:color w:val="auto"/>
          <w:lang w:val="en-US" w:eastAsia="zh-CN"/>
        </w:rPr>
        <w:t>有限公司</w:t>
      </w:r>
    </w:p>
    <w:p w14:paraId="08590BD9">
      <w:pPr>
        <w:pStyle w:val="3"/>
        <w:keepNext w:val="0"/>
        <w:keepLines w:val="0"/>
        <w:numPr>
          <w:ilvl w:val="0"/>
          <w:numId w:val="2"/>
        </w:numPr>
        <w:spacing w:before="80" w:line="360" w:lineRule="auto"/>
        <w:ind w:left="442" w:hanging="442"/>
        <w:rPr>
          <w:rFonts w:ascii="Times New Roman" w:hAnsi="Times New Roman" w:eastAsia="宋体"/>
          <w:b/>
          <w:bCs/>
          <w:color w:val="auto"/>
          <w:sz w:val="28"/>
          <w:szCs w:val="28"/>
        </w:rPr>
      </w:pPr>
      <w:bookmarkStart w:id="2" w:name="_Toc8527"/>
      <w:r>
        <w:rPr>
          <w:rFonts w:hint="eastAsia" w:ascii="Times New Roman" w:hAnsi="Times New Roman" w:eastAsia="宋体"/>
          <w:b/>
          <w:bCs/>
          <w:color w:val="auto"/>
          <w:sz w:val="28"/>
          <w:szCs w:val="28"/>
        </w:rPr>
        <w:t>产品信息</w:t>
      </w:r>
      <w:bookmarkEnd w:id="2"/>
    </w:p>
    <w:p w14:paraId="5B2847F1">
      <w:pPr>
        <w:spacing w:line="360" w:lineRule="auto"/>
        <w:ind w:firstLine="480" w:firstLineChars="200"/>
        <w:rPr>
          <w:rFonts w:hint="eastAsia" w:ascii="Times New Roman" w:hAnsi="Times New Roman" w:eastAsia="宋体"/>
          <w:sz w:val="24"/>
          <w:szCs w:val="28"/>
          <w:lang w:eastAsia="zh-CN"/>
        </w:rPr>
      </w:pPr>
      <w:r>
        <w:rPr>
          <w:rFonts w:hint="eastAsia" w:ascii="Times New Roman" w:hAnsi="Times New Roman" w:eastAsia="宋体"/>
          <w:sz w:val="24"/>
          <w:szCs w:val="28"/>
        </w:rPr>
        <w:t>产品名称：</w:t>
      </w:r>
      <w:r>
        <w:rPr>
          <w:rFonts w:hint="eastAsia" w:ascii="Times New Roman" w:hAnsi="Times New Roman" w:eastAsia="宋体"/>
          <w:sz w:val="24"/>
          <w:szCs w:val="28"/>
          <w:lang w:eastAsia="zh-CN"/>
        </w:rPr>
        <w:t>树脂锚固剂</w:t>
      </w:r>
    </w:p>
    <w:p w14:paraId="41358DF1">
      <w:pPr>
        <w:spacing w:line="360" w:lineRule="auto"/>
        <w:ind w:firstLine="480" w:firstLineChars="200"/>
        <w:rPr>
          <w:rFonts w:hint="eastAsia" w:ascii="Times New Roman" w:hAnsi="Times New Roman" w:eastAsia="宋体"/>
          <w:sz w:val="24"/>
          <w:szCs w:val="28"/>
        </w:rPr>
      </w:pPr>
      <w:r>
        <w:rPr>
          <w:rFonts w:hint="eastAsia" w:ascii="Times New Roman" w:hAnsi="Times New Roman" w:eastAsia="宋体"/>
          <w:sz w:val="24"/>
          <w:szCs w:val="28"/>
        </w:rPr>
        <w:t>产品功能：树脂锚固剂具有常温固化快，粘结强度高，锚固力可靠和耐久性好等特性，尤其适宜机械化快速施工。锚固基体：岩石、煤岩体、混凝土等</w:t>
      </w:r>
      <w:r>
        <w:rPr>
          <w:rFonts w:hint="eastAsia" w:ascii="Times New Roman" w:hAnsi="Times New Roman" w:eastAsia="宋体"/>
          <w:sz w:val="24"/>
          <w:szCs w:val="28"/>
          <w:lang w:eastAsia="zh-CN"/>
        </w:rPr>
        <w:t>。</w:t>
      </w:r>
      <w:r>
        <w:rPr>
          <w:rFonts w:hint="eastAsia" w:ascii="Times New Roman" w:hAnsi="Times New Roman" w:eastAsia="宋体"/>
          <w:sz w:val="24"/>
          <w:szCs w:val="28"/>
        </w:rPr>
        <w:t>适用范围：地下工程及边坡、陡壁锚喷支护、矿山立井装备安装及锚联网支护、建筑构件连接、设备基础锚固等。</w:t>
      </w:r>
    </w:p>
    <w:p w14:paraId="3035502D">
      <w:pPr>
        <w:spacing w:line="360" w:lineRule="auto"/>
        <w:ind w:firstLine="480" w:firstLineChars="200"/>
        <w:rPr>
          <w:rFonts w:hint="default" w:ascii="Times New Roman" w:hAnsi="Times New Roman" w:eastAsia="宋体"/>
          <w:sz w:val="24"/>
          <w:szCs w:val="28"/>
          <w:lang w:val="en-US" w:eastAsia="zh-CN"/>
        </w:rPr>
      </w:pPr>
      <w:r>
        <w:rPr>
          <w:rFonts w:hint="eastAsia" w:ascii="Times New Roman" w:hAnsi="Times New Roman" w:eastAsia="宋体"/>
          <w:sz w:val="24"/>
          <w:szCs w:val="28"/>
        </w:rPr>
        <w:t>产品介绍：</w:t>
      </w:r>
      <w:r>
        <w:rPr>
          <w:rFonts w:hint="eastAsia" w:ascii="Times New Roman" w:hAnsi="Times New Roman" w:eastAsia="宋体"/>
          <w:sz w:val="24"/>
          <w:szCs w:val="28"/>
          <w:lang w:val="en-US" w:eastAsia="zh-CN"/>
        </w:rPr>
        <w:t>树脂锚固剂是以不饱和聚酯树脂、固化剂、促进剂等材料配制而成的双组分胶泥状粘接材料，主要用于煤矿井巷支护、隧道施工、建筑结构加固及设备基础固定等领域。</w:t>
      </w:r>
    </w:p>
    <w:p w14:paraId="2EF45F0C">
      <w:pPr>
        <w:spacing w:line="360" w:lineRule="auto"/>
        <w:ind w:firstLine="480" w:firstLineChars="200"/>
        <w:rPr>
          <w:rFonts w:ascii="Times New Roman" w:hAnsi="Times New Roman" w:eastAsia="宋体"/>
          <w:sz w:val="24"/>
          <w:szCs w:val="28"/>
        </w:rPr>
      </w:pPr>
      <w:r>
        <w:rPr>
          <w:rFonts w:hint="eastAsia" w:ascii="Times New Roman" w:hAnsi="Times New Roman" w:eastAsia="宋体"/>
          <w:sz w:val="24"/>
          <w:szCs w:val="28"/>
        </w:rPr>
        <w:t>产品图片：</w:t>
      </w:r>
    </w:p>
    <w:p w14:paraId="12CBD386">
      <w:p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4104005" cy="2499360"/>
            <wp:effectExtent l="0" t="0" r="10795" b="15240"/>
            <wp:docPr id="10" name="图片 10" descr="锚固剂产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锚固剂产品"/>
                    <pic:cNvPicPr>
                      <a:picLocks noChangeAspect="1"/>
                    </pic:cNvPicPr>
                  </pic:nvPicPr>
                  <pic:blipFill>
                    <a:blip r:embed="rId9"/>
                    <a:stretch>
                      <a:fillRect/>
                    </a:stretch>
                  </pic:blipFill>
                  <pic:spPr>
                    <a:xfrm>
                      <a:off x="0" y="0"/>
                      <a:ext cx="4104005" cy="2499360"/>
                    </a:xfrm>
                    <a:prstGeom prst="rect">
                      <a:avLst/>
                    </a:prstGeom>
                  </pic:spPr>
                </pic:pic>
              </a:graphicData>
            </a:graphic>
          </wp:inline>
        </w:drawing>
      </w:r>
    </w:p>
    <w:p w14:paraId="2C32D3CD">
      <w:p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2879725" cy="3839845"/>
            <wp:effectExtent l="0" t="0" r="15875" b="20955"/>
            <wp:docPr id="12" name="图片 12" descr="/Users/zhaofeng/Library/Containers/com.kingsoft.wpsoffice.mac/Data/tmp/picturecompress_202510221246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zhaofeng/Library/Containers/com.kingsoft.wpsoffice.mac/Data/tmp/picturecompress_20251022124620/output_1.jpgoutput_1"/>
                    <pic:cNvPicPr>
                      <a:picLocks noChangeAspect="1"/>
                    </pic:cNvPicPr>
                  </pic:nvPicPr>
                  <pic:blipFill>
                    <a:blip r:embed="rId10"/>
                    <a:stretch>
                      <a:fillRect/>
                    </a:stretch>
                  </pic:blipFill>
                  <pic:spPr>
                    <a:xfrm>
                      <a:off x="0" y="0"/>
                      <a:ext cx="2879725" cy="3839845"/>
                    </a:xfrm>
                    <a:prstGeom prst="rect">
                      <a:avLst/>
                    </a:prstGeom>
                  </pic:spPr>
                </pic:pic>
              </a:graphicData>
            </a:graphic>
          </wp:inline>
        </w:drawing>
      </w:r>
    </w:p>
    <w:p w14:paraId="417A7931">
      <w:pPr>
        <w:spacing w:line="360" w:lineRule="auto"/>
        <w:jc w:val="center"/>
      </w:pPr>
      <w:r>
        <w:rPr>
          <w:rFonts w:hint="eastAsia" w:ascii="Times New Roman" w:hAnsi="Times New Roman" w:eastAsia="宋体"/>
          <w:b/>
          <w:bCs/>
          <w:i w:val="0"/>
          <w:iCs w:val="0"/>
          <w:color w:val="auto"/>
          <w:lang w:val="en-US" w:eastAsia="zh-CN"/>
        </w:rPr>
        <w:t>图2-1 树脂锚固剂</w:t>
      </w:r>
    </w:p>
    <w:p w14:paraId="7345031C">
      <w:pPr>
        <w:pStyle w:val="3"/>
        <w:keepNext w:val="0"/>
        <w:keepLines w:val="0"/>
        <w:numPr>
          <w:ilvl w:val="0"/>
          <w:numId w:val="2"/>
        </w:numPr>
        <w:spacing w:before="80" w:line="360" w:lineRule="auto"/>
        <w:ind w:left="442" w:hanging="442"/>
        <w:rPr>
          <w:rFonts w:ascii="Times New Roman" w:hAnsi="Times New Roman" w:eastAsia="宋体"/>
          <w:b/>
          <w:bCs/>
          <w:color w:val="auto"/>
          <w:sz w:val="28"/>
          <w:szCs w:val="28"/>
        </w:rPr>
      </w:pPr>
      <w:bookmarkStart w:id="3" w:name="_Toc11173"/>
      <w:r>
        <w:rPr>
          <w:rFonts w:hint="eastAsia" w:ascii="Times New Roman" w:hAnsi="Times New Roman" w:eastAsia="宋体"/>
          <w:b/>
          <w:bCs/>
          <w:color w:val="auto"/>
          <w:sz w:val="28"/>
          <w:szCs w:val="28"/>
        </w:rPr>
        <w:t>量化方法</w:t>
      </w:r>
      <w:bookmarkEnd w:id="3"/>
    </w:p>
    <w:p w14:paraId="02B6EBB7">
      <w:pPr>
        <w:spacing w:line="360" w:lineRule="auto"/>
        <w:ind w:firstLine="480" w:firstLineChars="200"/>
        <w:rPr>
          <w:rFonts w:ascii="Times New Roman" w:hAnsi="Times New Roman" w:eastAsia="宋体"/>
          <w:sz w:val="24"/>
          <w:szCs w:val="28"/>
        </w:rPr>
      </w:pPr>
      <w:r>
        <w:rPr>
          <w:rFonts w:hint="eastAsia" w:ascii="Times New Roman" w:hAnsi="Times New Roman" w:eastAsia="宋体"/>
          <w:sz w:val="24"/>
          <w:szCs w:val="28"/>
        </w:rPr>
        <w:t>依据标准：GB/T 24067-2024《温室气体 产品碳足迹 量化要求和指南》</w:t>
      </w:r>
    </w:p>
    <w:p w14:paraId="3995325F">
      <w:pPr>
        <w:spacing w:line="360" w:lineRule="auto"/>
        <w:ind w:firstLine="480" w:firstLineChars="200"/>
        <w:rPr>
          <w:rFonts w:ascii="Times New Roman" w:hAnsi="Times New Roman" w:eastAsia="宋体"/>
          <w:sz w:val="24"/>
          <w:szCs w:val="28"/>
        </w:rPr>
      </w:pPr>
      <w:r>
        <w:rPr>
          <w:rFonts w:hint="eastAsia" w:ascii="Times New Roman" w:hAnsi="Times New Roman" w:eastAsia="宋体"/>
          <w:sz w:val="24"/>
          <w:szCs w:val="28"/>
        </w:rPr>
        <w:t>ISO 14067:2018 Carbon footprint of products — Requirements and guidelines for quantification and communication</w:t>
      </w:r>
    </w:p>
    <w:p w14:paraId="2BBA4140">
      <w:pPr>
        <w:pStyle w:val="2"/>
        <w:keepNext w:val="0"/>
        <w:keepLines w:val="0"/>
        <w:numPr>
          <w:ilvl w:val="0"/>
          <w:numId w:val="1"/>
        </w:numPr>
        <w:spacing w:before="80" w:line="360" w:lineRule="auto"/>
        <w:ind w:left="442" w:hanging="442"/>
        <w:rPr>
          <w:rFonts w:ascii="Times New Roman" w:hAnsi="Times New Roman" w:eastAsia="宋体"/>
          <w:b/>
          <w:bCs/>
          <w:color w:val="auto"/>
          <w:sz w:val="32"/>
          <w:szCs w:val="32"/>
        </w:rPr>
      </w:pPr>
      <w:bookmarkStart w:id="4" w:name="_Toc28960"/>
      <w:r>
        <w:rPr>
          <w:rFonts w:hint="eastAsia" w:ascii="Times New Roman" w:hAnsi="Times New Roman" w:eastAsia="宋体"/>
          <w:b/>
          <w:bCs/>
          <w:color w:val="auto"/>
          <w:sz w:val="32"/>
          <w:szCs w:val="32"/>
        </w:rPr>
        <w:t>量化目的</w:t>
      </w:r>
      <w:bookmarkEnd w:id="4"/>
    </w:p>
    <w:p w14:paraId="01259FA1">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rPr>
        <w:t>结合取舍原则，通过量化产品生命周期或选定过程的所有显著的GHG排放量和清除量，计算产品对全球变暖的潜在贡献（以二氧化碳当量（CO</w:t>
      </w:r>
      <w:r>
        <w:rPr>
          <w:rFonts w:hint="default" w:ascii="Times New Roman Regular" w:hAnsi="Times New Roman Regular" w:eastAsia="宋体" w:cs="Times New Roman Regular"/>
          <w:sz w:val="24"/>
          <w:szCs w:val="24"/>
          <w:vertAlign w:val="subscript"/>
        </w:rPr>
        <w:t>2</w:t>
      </w:r>
      <w:r>
        <w:rPr>
          <w:rFonts w:hint="default" w:ascii="Times New Roman Regular" w:hAnsi="Times New Roman Regular" w:eastAsia="宋体" w:cs="Times New Roman Regular"/>
          <w:sz w:val="24"/>
          <w:szCs w:val="24"/>
        </w:rPr>
        <w:t>e）表示）。</w:t>
      </w:r>
      <w:r>
        <w:rPr>
          <w:rFonts w:hint="default" w:ascii="Times New Roman Regular" w:hAnsi="Times New Roman Regular" w:eastAsia="宋体" w:cs="Times New Roman Regular"/>
          <w:sz w:val="24"/>
          <w:szCs w:val="24"/>
          <w:lang w:val="en-US" w:eastAsia="zh-CN"/>
        </w:rPr>
        <w:t>明确</w:t>
      </w:r>
      <w:r>
        <w:rPr>
          <w:rFonts w:hint="eastAsia" w:ascii="Times New Roman" w:hAnsi="Times New Roman" w:eastAsia="宋体"/>
          <w:sz w:val="24"/>
          <w:szCs w:val="28"/>
          <w:lang w:eastAsia="zh-CN"/>
        </w:rPr>
        <w:t>树脂锚固剂</w:t>
      </w:r>
      <w:r>
        <w:rPr>
          <w:rFonts w:hint="default" w:ascii="Times New Roman Regular" w:hAnsi="Times New Roman Regular" w:eastAsia="宋体" w:cs="Times New Roman Regular"/>
          <w:sz w:val="24"/>
          <w:szCs w:val="24"/>
          <w:lang w:val="en-US" w:eastAsia="zh-CN"/>
        </w:rPr>
        <w:t>产品碳足迹有利于：</w:t>
      </w:r>
    </w:p>
    <w:p w14:paraId="58FDA07D">
      <w:pPr>
        <w:numPr>
          <w:ilvl w:val="0"/>
          <w:numId w:val="3"/>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掌握产品在原材料获取、原材料储运、生产加工等环节的温室气体排放情况，为提出减排方案提出依据；</w:t>
      </w:r>
    </w:p>
    <w:p w14:paraId="07811433">
      <w:pPr>
        <w:numPr>
          <w:ilvl w:val="0"/>
          <w:numId w:val="3"/>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满足客户构建绿色供应链的相关要求；</w:t>
      </w:r>
    </w:p>
    <w:p w14:paraId="47FB10D1">
      <w:pPr>
        <w:numPr>
          <w:ilvl w:val="0"/>
          <w:numId w:val="3"/>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为公众提供产品声明或信息披露提供产品碳足迹结果；</w:t>
      </w:r>
    </w:p>
    <w:p w14:paraId="24B17199">
      <w:pPr>
        <w:numPr>
          <w:ilvl w:val="0"/>
          <w:numId w:val="3"/>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满足相关法律法规和标准要求。</w:t>
      </w:r>
    </w:p>
    <w:p w14:paraId="23660CD1">
      <w:pPr>
        <w:pStyle w:val="2"/>
        <w:keepNext w:val="0"/>
        <w:keepLines w:val="0"/>
        <w:numPr>
          <w:ilvl w:val="0"/>
          <w:numId w:val="1"/>
        </w:numPr>
        <w:spacing w:before="80" w:line="360" w:lineRule="auto"/>
        <w:ind w:left="442" w:hanging="442"/>
        <w:rPr>
          <w:rFonts w:ascii="Times New Roman" w:hAnsi="Times New Roman" w:eastAsia="宋体"/>
          <w:b/>
          <w:bCs/>
          <w:color w:val="auto"/>
          <w:sz w:val="32"/>
          <w:szCs w:val="32"/>
        </w:rPr>
      </w:pPr>
      <w:bookmarkStart w:id="5" w:name="_Toc20072"/>
      <w:r>
        <w:rPr>
          <w:rFonts w:hint="eastAsia" w:ascii="Times New Roman" w:hAnsi="Times New Roman" w:eastAsia="宋体"/>
          <w:b/>
          <w:bCs/>
          <w:color w:val="auto"/>
          <w:sz w:val="32"/>
          <w:szCs w:val="32"/>
        </w:rPr>
        <w:t>量化范围</w:t>
      </w:r>
      <w:bookmarkEnd w:id="5"/>
    </w:p>
    <w:p w14:paraId="1D067C3A">
      <w:pPr>
        <w:pStyle w:val="3"/>
        <w:keepNext w:val="0"/>
        <w:keepLines w:val="0"/>
        <w:numPr>
          <w:ilvl w:val="0"/>
          <w:numId w:val="4"/>
        </w:numPr>
        <w:spacing w:before="80" w:line="360" w:lineRule="auto"/>
        <w:rPr>
          <w:rFonts w:ascii="Times New Roman" w:hAnsi="Times New Roman" w:eastAsia="宋体"/>
          <w:b/>
          <w:bCs/>
          <w:color w:val="auto"/>
          <w:sz w:val="28"/>
          <w:szCs w:val="28"/>
        </w:rPr>
      </w:pPr>
      <w:bookmarkStart w:id="6" w:name="_Toc23510"/>
      <w:r>
        <w:rPr>
          <w:rFonts w:hint="eastAsia" w:ascii="Times New Roman" w:hAnsi="Times New Roman" w:eastAsia="宋体"/>
          <w:b/>
          <w:bCs/>
          <w:color w:val="auto"/>
          <w:sz w:val="28"/>
          <w:szCs w:val="28"/>
        </w:rPr>
        <w:t>功能单位或声明单位</w:t>
      </w:r>
      <w:bookmarkEnd w:id="6"/>
    </w:p>
    <w:p w14:paraId="3B11269A">
      <w:pPr>
        <w:spacing w:line="360" w:lineRule="auto"/>
        <w:ind w:firstLine="480" w:firstLineChars="200"/>
        <w:rPr>
          <w:rFonts w:ascii="Times New Roman" w:hAnsi="Times New Roman" w:eastAsia="宋体"/>
          <w:sz w:val="24"/>
          <w:szCs w:val="28"/>
        </w:rPr>
      </w:pPr>
      <w:r>
        <w:rPr>
          <w:rFonts w:hint="eastAsia" w:ascii="Times New Roman" w:hAnsi="Times New Roman" w:eastAsia="宋体"/>
          <w:sz w:val="24"/>
          <w:szCs w:val="28"/>
        </w:rPr>
        <w:t>本报告系统边界为部分生命周期，报告产品以</w:t>
      </w:r>
      <w:r>
        <w:rPr>
          <w:rFonts w:hint="eastAsia" w:ascii="Times New Roman" w:hAnsi="Times New Roman" w:eastAsia="宋体"/>
          <w:sz w:val="24"/>
          <w:szCs w:val="28"/>
          <w:u w:val="single"/>
          <w:lang w:val="en-US" w:eastAsia="zh-CN"/>
        </w:rPr>
        <w:t xml:space="preserve"> </w:t>
      </w:r>
      <w:r>
        <w:rPr>
          <w:rFonts w:hint="default" w:ascii="Times New Roman" w:hAnsi="Times New Roman" w:eastAsia="宋体"/>
          <w:sz w:val="24"/>
          <w:szCs w:val="28"/>
          <w:u w:val="single"/>
          <w:lang w:val="en-US" w:eastAsia="zh-CN"/>
        </w:rPr>
        <w:t>1</w:t>
      </w:r>
      <w:r>
        <w:rPr>
          <w:rFonts w:hint="eastAsia" w:ascii="Times New Roman" w:hAnsi="Times New Roman" w:eastAsia="宋体"/>
          <w:sz w:val="24"/>
          <w:szCs w:val="28"/>
          <w:u w:val="single"/>
          <w:lang w:val="en-US" w:eastAsia="zh-CN"/>
        </w:rPr>
        <w:t>吨树脂锚固剂</w:t>
      </w:r>
      <w:r>
        <w:rPr>
          <w:rFonts w:hint="eastAsia" w:ascii="Times New Roman" w:hAnsi="Times New Roman" w:eastAsia="宋体"/>
          <w:sz w:val="24"/>
          <w:szCs w:val="28"/>
        </w:rPr>
        <w:t>为声明单位。</w:t>
      </w:r>
    </w:p>
    <w:p w14:paraId="1C02C334">
      <w:pPr>
        <w:pStyle w:val="3"/>
        <w:keepNext w:val="0"/>
        <w:keepLines w:val="0"/>
        <w:numPr>
          <w:ilvl w:val="0"/>
          <w:numId w:val="4"/>
        </w:numPr>
        <w:spacing w:before="80" w:line="360" w:lineRule="auto"/>
        <w:rPr>
          <w:rFonts w:ascii="Times New Roman" w:hAnsi="Times New Roman" w:eastAsia="宋体"/>
          <w:b/>
          <w:bCs/>
          <w:color w:val="auto"/>
          <w:sz w:val="28"/>
          <w:szCs w:val="28"/>
        </w:rPr>
      </w:pPr>
      <w:bookmarkStart w:id="7" w:name="_Toc30828"/>
      <w:r>
        <w:rPr>
          <w:rFonts w:hint="eastAsia" w:ascii="Times New Roman" w:hAnsi="Times New Roman" w:eastAsia="宋体"/>
          <w:b/>
          <w:bCs/>
          <w:color w:val="auto"/>
          <w:sz w:val="28"/>
          <w:szCs w:val="28"/>
        </w:rPr>
        <w:t>系统边界</w:t>
      </w:r>
      <w:bookmarkEnd w:id="7"/>
    </w:p>
    <w:p w14:paraId="034B4EE0">
      <w:pPr>
        <w:spacing w:line="360" w:lineRule="auto"/>
        <w:rPr>
          <w:rFonts w:ascii="Times New Roman" w:hAnsi="Times New Roman" w:eastAsia="宋体"/>
          <w:sz w:val="24"/>
          <w:szCs w:val="24"/>
        </w:rPr>
      </w:pPr>
      <w:r>
        <w:rPr>
          <w:rFonts w:hint="eastAsia" w:ascii="Segoe UI Symbol" w:hAnsi="Segoe UI Symbol" w:eastAsia="宋体" w:cs="Segoe UI Symbol"/>
          <w:sz w:val="24"/>
          <w:szCs w:val="24"/>
          <w:lang w:eastAsia="zh-CN"/>
        </w:rPr>
        <w:t>☑</w:t>
      </w:r>
      <w:r>
        <w:rPr>
          <w:rFonts w:hint="eastAsia" w:ascii="Times New Roman" w:hAnsi="Times New Roman" w:eastAsia="宋体"/>
          <w:sz w:val="24"/>
          <w:szCs w:val="24"/>
        </w:rPr>
        <w:t xml:space="preserve"> 原材料获取阶段    </w:t>
      </w:r>
      <w:r>
        <w:rPr>
          <w:rFonts w:hint="eastAsia" w:ascii="Segoe UI Symbol" w:hAnsi="Segoe UI Symbol" w:eastAsia="宋体" w:cs="Segoe UI Symbol"/>
          <w:sz w:val="24"/>
          <w:szCs w:val="24"/>
          <w:lang w:eastAsia="zh-CN"/>
        </w:rPr>
        <w:t>☑</w:t>
      </w:r>
      <w:r>
        <w:rPr>
          <w:rFonts w:hint="eastAsia" w:ascii="Times New Roman" w:hAnsi="Times New Roman" w:eastAsia="宋体"/>
          <w:sz w:val="24"/>
          <w:szCs w:val="24"/>
        </w:rPr>
        <w:t xml:space="preserve"> 生产阶段    □运输（交付）阶段</w:t>
      </w:r>
    </w:p>
    <w:p w14:paraId="310772E4">
      <w:pPr>
        <w:spacing w:line="360" w:lineRule="auto"/>
        <w:rPr>
          <w:rFonts w:ascii="Times New Roman" w:hAnsi="Times New Roman" w:eastAsia="宋体"/>
          <w:sz w:val="24"/>
          <w:szCs w:val="24"/>
        </w:rPr>
      </w:pPr>
      <w:r>
        <w:rPr>
          <w:rFonts w:hint="eastAsia" w:ascii="Times New Roman" w:hAnsi="Times New Roman" w:eastAsia="宋体"/>
          <w:sz w:val="24"/>
          <w:szCs w:val="24"/>
        </w:rPr>
        <w:t>□ 使用阶段    □ 生命末期阶段</w:t>
      </w:r>
    </w:p>
    <w:p w14:paraId="05CF55DF">
      <w:pPr>
        <w:spacing w:line="360" w:lineRule="auto"/>
        <w:ind w:firstLine="480" w:firstLineChars="200"/>
        <w:rPr>
          <w:rFonts w:ascii="Times New Roman" w:hAnsi="Times New Roman" w:eastAsia="宋体"/>
          <w:sz w:val="24"/>
          <w:szCs w:val="28"/>
        </w:rPr>
      </w:pPr>
      <w:r>
        <w:rPr>
          <w:rFonts w:hint="eastAsia" w:ascii="Times New Roman" w:hAnsi="Times New Roman" w:eastAsia="宋体"/>
          <w:sz w:val="24"/>
          <w:szCs w:val="28"/>
        </w:rPr>
        <w:t>系统边界图：</w:t>
      </w:r>
    </w:p>
    <w:p w14:paraId="63E36334">
      <w:pPr>
        <w:rPr>
          <w:rFonts w:hint="eastAsia" w:ascii="Times New Roman" w:hAnsi="Times New Roman" w:eastAsia="宋体"/>
          <w:lang w:eastAsia="zh-CN"/>
        </w:rPr>
      </w:pPr>
      <w:r>
        <w:rPr>
          <w:rFonts w:hint="eastAsia" w:ascii="Times New Roman" w:hAnsi="Times New Roman" w:eastAsia="宋体"/>
          <w:lang w:eastAsia="zh-CN"/>
        </w:rPr>
        <w:drawing>
          <wp:inline distT="0" distB="0" distL="114300" distR="114300">
            <wp:extent cx="5255895" cy="3820795"/>
            <wp:effectExtent l="0" t="0" r="0" b="0"/>
            <wp:docPr id="17" name="图片 17" descr="464b5f81-7af9-401a-bd73-bfdddcbc3e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64b5f81-7af9-401a-bd73-bfdddcbc3eb5"/>
                    <pic:cNvPicPr>
                      <a:picLocks noChangeAspect="1"/>
                    </pic:cNvPicPr>
                  </pic:nvPicPr>
                  <pic:blipFill>
                    <a:blip r:embed="rId11"/>
                    <a:srcRect t="2858"/>
                    <a:stretch>
                      <a:fillRect/>
                    </a:stretch>
                  </pic:blipFill>
                  <pic:spPr>
                    <a:xfrm>
                      <a:off x="0" y="0"/>
                      <a:ext cx="5255895" cy="3820795"/>
                    </a:xfrm>
                    <a:prstGeom prst="rect">
                      <a:avLst/>
                    </a:prstGeom>
                  </pic:spPr>
                </pic:pic>
              </a:graphicData>
            </a:graphic>
          </wp:inline>
        </w:drawing>
      </w:r>
    </w:p>
    <w:p w14:paraId="7D88E047">
      <w:pPr>
        <w:spacing w:line="360" w:lineRule="auto"/>
        <w:jc w:val="center"/>
        <w:rPr>
          <w:rFonts w:hint="eastAsia" w:ascii="Times New Roman" w:hAnsi="Times New Roman" w:eastAsia="宋体"/>
          <w:b/>
          <w:bCs/>
          <w:i w:val="0"/>
          <w:iCs w:val="0"/>
          <w:color w:val="auto"/>
          <w:lang w:val="en-US" w:eastAsia="zh-CN"/>
        </w:rPr>
      </w:pPr>
      <w:r>
        <w:rPr>
          <w:rFonts w:hint="eastAsia" w:ascii="Times New Roman" w:hAnsi="Times New Roman" w:eastAsia="宋体"/>
          <w:b/>
          <w:bCs/>
          <w:i w:val="0"/>
          <w:iCs w:val="0"/>
          <w:color w:val="auto"/>
          <w:lang w:val="en-US" w:eastAsia="zh-CN"/>
        </w:rPr>
        <w:t>图 3-1 产品碳足迹量化系统边界图</w:t>
      </w:r>
    </w:p>
    <w:p w14:paraId="6980BC04">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以下单元过程排除在系统边界外：</w:t>
      </w:r>
    </w:p>
    <w:p w14:paraId="06631728">
      <w:pPr>
        <w:numPr>
          <w:ilvl w:val="0"/>
          <w:numId w:val="5"/>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各过程的人力输入；</w:t>
      </w:r>
    </w:p>
    <w:p w14:paraId="55537A52">
      <w:pPr>
        <w:numPr>
          <w:ilvl w:val="0"/>
          <w:numId w:val="5"/>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生产设备、建筑物和其他资本货物的制造；</w:t>
      </w:r>
    </w:p>
    <w:p w14:paraId="22F951C3">
      <w:pPr>
        <w:numPr>
          <w:ilvl w:val="0"/>
          <w:numId w:val="5"/>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员工生活、通勤等活动产生的能源消耗；</w:t>
      </w:r>
    </w:p>
    <w:p w14:paraId="4F979DDD">
      <w:pPr>
        <w:numPr>
          <w:ilvl w:val="0"/>
          <w:numId w:val="5"/>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办公室、食堂、澡堂等生产相关服务设施所产生的能源消耗；</w:t>
      </w:r>
    </w:p>
    <w:p w14:paraId="02BD83E0">
      <w:pPr>
        <w:numPr>
          <w:ilvl w:val="0"/>
          <w:numId w:val="5"/>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研究和开发活动；</w:t>
      </w:r>
    </w:p>
    <w:p w14:paraId="75AAD66A">
      <w:pPr>
        <w:numPr>
          <w:ilvl w:val="0"/>
          <w:numId w:val="5"/>
        </w:num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lang w:val="en-US" w:eastAsia="zh-CN"/>
        </w:rPr>
        <w:t>人、畜力提供的运输。</w:t>
      </w:r>
    </w:p>
    <w:p w14:paraId="756581A9">
      <w:pPr>
        <w:pStyle w:val="3"/>
        <w:keepNext w:val="0"/>
        <w:keepLines w:val="0"/>
        <w:numPr>
          <w:ilvl w:val="0"/>
          <w:numId w:val="4"/>
        </w:numPr>
        <w:spacing w:before="80" w:line="360" w:lineRule="auto"/>
        <w:rPr>
          <w:rFonts w:ascii="Times New Roman" w:hAnsi="Times New Roman" w:eastAsia="宋体"/>
          <w:b/>
          <w:bCs/>
          <w:color w:val="auto"/>
          <w:sz w:val="28"/>
          <w:szCs w:val="28"/>
        </w:rPr>
      </w:pPr>
      <w:bookmarkStart w:id="8" w:name="_Toc30202"/>
      <w:r>
        <w:rPr>
          <w:rFonts w:hint="eastAsia" w:ascii="Times New Roman" w:hAnsi="Times New Roman" w:eastAsia="宋体"/>
          <w:b/>
          <w:bCs/>
          <w:color w:val="auto"/>
          <w:sz w:val="28"/>
          <w:szCs w:val="28"/>
        </w:rPr>
        <w:t>取舍准则（截断</w:t>
      </w:r>
      <w:r>
        <w:rPr>
          <w:rFonts w:hint="eastAsia" w:ascii="Times New Roman" w:hAnsi="Times New Roman" w:eastAsia="宋体"/>
          <w:b/>
          <w:bCs/>
          <w:color w:val="auto"/>
          <w:sz w:val="28"/>
          <w:szCs w:val="28"/>
          <w:lang w:val="en-US" w:eastAsia="zh-CN"/>
        </w:rPr>
        <w:t xml:space="preserve"> cut-off</w:t>
      </w:r>
      <w:r>
        <w:rPr>
          <w:rFonts w:hint="eastAsia" w:ascii="Times New Roman" w:hAnsi="Times New Roman" w:eastAsia="宋体"/>
          <w:b/>
          <w:bCs/>
          <w:color w:val="auto"/>
          <w:sz w:val="28"/>
          <w:szCs w:val="28"/>
        </w:rPr>
        <w:t>）</w:t>
      </w:r>
      <w:bookmarkEnd w:id="8"/>
    </w:p>
    <w:p w14:paraId="002F5EED">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采用的取舍准则以</w:t>
      </w:r>
      <w:r>
        <w:rPr>
          <w:rFonts w:hint="eastAsia" w:ascii="Times New Roman" w:hAnsi="Times New Roman" w:eastAsia="宋体"/>
          <w:i w:val="0"/>
          <w:iCs w:val="0"/>
          <w:color w:val="auto"/>
          <w:sz w:val="24"/>
          <w:szCs w:val="24"/>
          <w:u w:val="single"/>
          <w:lang w:val="en-US" w:eastAsia="zh-CN"/>
        </w:rPr>
        <w:t>GB/T 24067-2024、ISO 14067:2018</w:t>
      </w:r>
      <w:r>
        <w:rPr>
          <w:rFonts w:hint="eastAsia" w:ascii="Times New Roman" w:hAnsi="Times New Roman" w:eastAsia="宋体"/>
          <w:sz w:val="24"/>
          <w:szCs w:val="24"/>
        </w:rPr>
        <w:t>为依据，具体规则如下：</w:t>
      </w:r>
    </w:p>
    <w:p w14:paraId="50B1ECFF">
      <w:pPr>
        <w:spacing w:line="360" w:lineRule="auto"/>
        <w:ind w:firstLine="480" w:firstLineChars="200"/>
        <w:rPr>
          <w:rFonts w:hint="eastAsia"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一般来说，产品碳足迹研究量化应包括生产树脂锚固剂产品体系的所有原材料投入、工艺过程、能源消耗等排放活动。但当个别排放源或原材料在某一单位过程中的碳足迹无显著贡献时，可基于实际情况将其排除在外，并应将舍弃的数据清单及原因在产品碳足迹报告中予以说明。</w:t>
      </w:r>
    </w:p>
    <w:p w14:paraId="3ED637B3">
      <w:pPr>
        <w:spacing w:line="360" w:lineRule="auto"/>
        <w:ind w:firstLine="480" w:firstLineChars="200"/>
        <w:rPr>
          <w:rFonts w:hint="eastAsia"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在产品碳足迹量化过程中，若单一排放源排放量小于1%，可被舍弃，但所舍弃环节总的影响不应超过产品碳足迹总量的5%。</w:t>
      </w:r>
    </w:p>
    <w:p w14:paraId="3459521C">
      <w:pPr>
        <w:pStyle w:val="3"/>
        <w:keepNext w:val="0"/>
        <w:keepLines w:val="0"/>
        <w:numPr>
          <w:ilvl w:val="0"/>
          <w:numId w:val="4"/>
        </w:numPr>
        <w:spacing w:before="80" w:line="360" w:lineRule="auto"/>
        <w:rPr>
          <w:rFonts w:ascii="Times New Roman" w:hAnsi="Times New Roman" w:eastAsia="宋体"/>
          <w:b/>
          <w:bCs/>
          <w:color w:val="auto"/>
          <w:sz w:val="28"/>
          <w:szCs w:val="28"/>
        </w:rPr>
      </w:pPr>
      <w:bookmarkStart w:id="9" w:name="_Toc23949"/>
      <w:r>
        <w:rPr>
          <w:rFonts w:hint="eastAsia" w:ascii="Times New Roman" w:hAnsi="Times New Roman" w:eastAsia="宋体"/>
          <w:b/>
          <w:bCs/>
          <w:color w:val="auto"/>
          <w:sz w:val="28"/>
          <w:szCs w:val="28"/>
        </w:rPr>
        <w:t>时间范围</w:t>
      </w:r>
      <w:bookmarkEnd w:id="9"/>
    </w:p>
    <w:p w14:paraId="61AFD5DC">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本报告的时间范围为：</w:t>
      </w:r>
      <w:r>
        <w:rPr>
          <w:rFonts w:hint="eastAsia" w:ascii="Times New Roman" w:hAnsi="Times New Roman" w:eastAsia="宋体"/>
          <w:i w:val="0"/>
          <w:iCs w:val="0"/>
          <w:color w:val="auto"/>
          <w:sz w:val="24"/>
          <w:szCs w:val="24"/>
        </w:rPr>
        <w:t>20</w:t>
      </w:r>
      <w:r>
        <w:rPr>
          <w:rFonts w:hint="eastAsia" w:ascii="Times New Roman" w:hAnsi="Times New Roman" w:eastAsia="宋体"/>
          <w:i w:val="0"/>
          <w:iCs w:val="0"/>
          <w:color w:val="auto"/>
          <w:sz w:val="24"/>
          <w:szCs w:val="24"/>
          <w:lang w:val="en-US" w:eastAsia="zh-CN"/>
        </w:rPr>
        <w:t>24</w:t>
      </w:r>
      <w:r>
        <w:rPr>
          <w:rFonts w:hint="eastAsia" w:ascii="Times New Roman" w:hAnsi="Times New Roman" w:eastAsia="宋体"/>
          <w:i w:val="0"/>
          <w:iCs w:val="0"/>
          <w:color w:val="auto"/>
          <w:sz w:val="24"/>
          <w:szCs w:val="24"/>
        </w:rPr>
        <w:t>年</w:t>
      </w:r>
      <w:r>
        <w:rPr>
          <w:rFonts w:hint="eastAsia" w:ascii="Times New Roman" w:hAnsi="Times New Roman" w:eastAsia="宋体"/>
          <w:i w:val="0"/>
          <w:iCs w:val="0"/>
          <w:color w:val="auto"/>
          <w:sz w:val="24"/>
          <w:szCs w:val="24"/>
          <w:lang w:val="en-US" w:eastAsia="zh-CN"/>
        </w:rPr>
        <w:t>1</w:t>
      </w:r>
      <w:r>
        <w:rPr>
          <w:rFonts w:hint="eastAsia" w:ascii="Times New Roman" w:hAnsi="Times New Roman" w:eastAsia="宋体"/>
          <w:i w:val="0"/>
          <w:iCs w:val="0"/>
          <w:color w:val="auto"/>
          <w:sz w:val="24"/>
          <w:szCs w:val="24"/>
        </w:rPr>
        <w:t>月</w:t>
      </w:r>
      <w:r>
        <w:rPr>
          <w:rFonts w:hint="eastAsia" w:ascii="Times New Roman" w:hAnsi="Times New Roman" w:eastAsia="宋体"/>
          <w:i w:val="0"/>
          <w:iCs w:val="0"/>
          <w:color w:val="auto"/>
          <w:sz w:val="24"/>
          <w:szCs w:val="24"/>
          <w:lang w:val="en-US" w:eastAsia="zh-CN"/>
        </w:rPr>
        <w:t>1</w:t>
      </w:r>
      <w:r>
        <w:rPr>
          <w:rFonts w:hint="eastAsia" w:ascii="Times New Roman" w:hAnsi="Times New Roman" w:eastAsia="宋体"/>
          <w:i w:val="0"/>
          <w:iCs w:val="0"/>
          <w:color w:val="auto"/>
          <w:sz w:val="24"/>
          <w:szCs w:val="24"/>
        </w:rPr>
        <w:t>日至20</w:t>
      </w:r>
      <w:r>
        <w:rPr>
          <w:rFonts w:hint="eastAsia" w:ascii="Times New Roman" w:hAnsi="Times New Roman" w:eastAsia="宋体"/>
          <w:i w:val="0"/>
          <w:iCs w:val="0"/>
          <w:color w:val="auto"/>
          <w:sz w:val="24"/>
          <w:szCs w:val="24"/>
          <w:lang w:val="en-US" w:eastAsia="zh-CN"/>
        </w:rPr>
        <w:t>24</w:t>
      </w:r>
      <w:r>
        <w:rPr>
          <w:rFonts w:hint="eastAsia" w:ascii="Times New Roman" w:hAnsi="Times New Roman" w:eastAsia="宋体"/>
          <w:i w:val="0"/>
          <w:iCs w:val="0"/>
          <w:color w:val="auto"/>
          <w:sz w:val="24"/>
          <w:szCs w:val="24"/>
        </w:rPr>
        <w:t>年</w:t>
      </w:r>
      <w:r>
        <w:rPr>
          <w:rFonts w:hint="eastAsia" w:ascii="Times New Roman" w:hAnsi="Times New Roman" w:eastAsia="宋体"/>
          <w:i w:val="0"/>
          <w:iCs w:val="0"/>
          <w:color w:val="auto"/>
          <w:sz w:val="24"/>
          <w:szCs w:val="24"/>
          <w:lang w:val="en-US" w:eastAsia="zh-CN"/>
        </w:rPr>
        <w:t>12</w:t>
      </w:r>
      <w:r>
        <w:rPr>
          <w:rFonts w:hint="eastAsia" w:ascii="Times New Roman" w:hAnsi="Times New Roman" w:eastAsia="宋体"/>
          <w:i w:val="0"/>
          <w:iCs w:val="0"/>
          <w:color w:val="auto"/>
          <w:sz w:val="24"/>
          <w:szCs w:val="24"/>
        </w:rPr>
        <w:t>月</w:t>
      </w:r>
      <w:r>
        <w:rPr>
          <w:rFonts w:hint="eastAsia" w:ascii="Times New Roman" w:hAnsi="Times New Roman" w:eastAsia="宋体"/>
          <w:i w:val="0"/>
          <w:iCs w:val="0"/>
          <w:color w:val="auto"/>
          <w:sz w:val="24"/>
          <w:szCs w:val="24"/>
          <w:lang w:val="en-US" w:eastAsia="zh-CN"/>
        </w:rPr>
        <w:t>31</w:t>
      </w:r>
      <w:r>
        <w:rPr>
          <w:rFonts w:hint="eastAsia" w:ascii="Times New Roman" w:hAnsi="Times New Roman" w:eastAsia="宋体"/>
          <w:i w:val="0"/>
          <w:iCs w:val="0"/>
          <w:color w:val="auto"/>
          <w:sz w:val="24"/>
          <w:szCs w:val="24"/>
        </w:rPr>
        <w:t>日</w:t>
      </w:r>
      <w:r>
        <w:rPr>
          <w:rFonts w:hint="eastAsia" w:ascii="Times New Roman" w:hAnsi="Times New Roman" w:eastAsia="宋体"/>
          <w:sz w:val="24"/>
          <w:szCs w:val="24"/>
        </w:rPr>
        <w:t>。</w:t>
      </w:r>
    </w:p>
    <w:p w14:paraId="68F60F83">
      <w:pPr>
        <w:pStyle w:val="3"/>
        <w:keepNext w:val="0"/>
        <w:keepLines w:val="0"/>
        <w:numPr>
          <w:ilvl w:val="0"/>
          <w:numId w:val="4"/>
        </w:numPr>
        <w:spacing w:before="80" w:line="360" w:lineRule="auto"/>
        <w:rPr>
          <w:rFonts w:ascii="Times New Roman" w:hAnsi="Times New Roman" w:eastAsia="宋体"/>
          <w:b/>
          <w:bCs/>
          <w:color w:val="auto"/>
          <w:sz w:val="28"/>
          <w:szCs w:val="28"/>
        </w:rPr>
      </w:pPr>
      <w:bookmarkStart w:id="10" w:name="_Toc14220"/>
      <w:r>
        <w:rPr>
          <w:rFonts w:hint="eastAsia" w:ascii="Times New Roman" w:hAnsi="Times New Roman" w:eastAsia="宋体"/>
          <w:b/>
          <w:bCs/>
          <w:color w:val="auto"/>
          <w:sz w:val="28"/>
          <w:szCs w:val="28"/>
        </w:rPr>
        <w:t>生产地点</w:t>
      </w:r>
      <w:bookmarkEnd w:id="10"/>
    </w:p>
    <w:p w14:paraId="3AD63808">
      <w:pPr>
        <w:spacing w:line="360" w:lineRule="auto"/>
        <w:ind w:firstLine="480" w:firstLineChars="200"/>
        <w:rPr>
          <w:rFonts w:hint="eastAsia" w:ascii="Times New Roman" w:hAnsi="Times New Roman" w:eastAsia="宋体"/>
          <w:sz w:val="24"/>
          <w:szCs w:val="24"/>
        </w:rPr>
      </w:pPr>
      <w:r>
        <w:rPr>
          <w:rFonts w:hint="eastAsia" w:ascii="Times New Roman" w:hAnsi="Times New Roman" w:eastAsia="宋体"/>
          <w:sz w:val="24"/>
          <w:szCs w:val="24"/>
        </w:rPr>
        <w:t>报告产品生产地点为：</w:t>
      </w:r>
      <w:r>
        <w:rPr>
          <w:rFonts w:hint="eastAsia" w:ascii="Times New Roman" w:hAnsi="Times New Roman" w:eastAsia="宋体"/>
          <w:i w:val="0"/>
          <w:iCs w:val="0"/>
          <w:color w:val="auto"/>
          <w:sz w:val="24"/>
          <w:szCs w:val="24"/>
          <w:lang w:val="en-US" w:eastAsia="zh-CN"/>
        </w:rPr>
        <w:t>安徽省淮南市谢家集区卧园路的</w:t>
      </w:r>
      <w:r>
        <w:rPr>
          <w:rFonts w:hint="eastAsia" w:ascii="Times New Roman" w:hAnsi="Times New Roman" w:eastAsia="宋体"/>
          <w:i w:val="0"/>
          <w:iCs w:val="0"/>
          <w:color w:val="auto"/>
          <w:sz w:val="24"/>
          <w:szCs w:val="28"/>
          <w:lang w:val="en-US" w:eastAsia="zh-CN"/>
        </w:rPr>
        <w:t>美亚高新材料股份有限公司</w:t>
      </w:r>
      <w:r>
        <w:rPr>
          <w:rFonts w:hint="eastAsia" w:ascii="Times New Roman" w:hAnsi="Times New Roman" w:eastAsia="宋体"/>
          <w:sz w:val="24"/>
          <w:szCs w:val="24"/>
        </w:rPr>
        <w:t>，如图</w:t>
      </w:r>
      <w:r>
        <w:rPr>
          <w:rFonts w:hint="eastAsia" w:ascii="Times New Roman" w:hAnsi="Times New Roman" w:eastAsia="宋体"/>
          <w:i w:val="0"/>
          <w:iCs w:val="0"/>
          <w:color w:val="auto"/>
          <w:sz w:val="24"/>
          <w:szCs w:val="24"/>
        </w:rPr>
        <w:t>3-</w:t>
      </w:r>
      <w:r>
        <w:rPr>
          <w:rFonts w:hint="eastAsia" w:ascii="Times New Roman" w:hAnsi="Times New Roman" w:eastAsia="宋体"/>
          <w:i w:val="0"/>
          <w:iCs w:val="0"/>
          <w:color w:val="auto"/>
          <w:sz w:val="24"/>
          <w:szCs w:val="24"/>
          <w:lang w:val="en-US" w:eastAsia="zh-CN"/>
        </w:rPr>
        <w:t>2</w:t>
      </w:r>
      <w:r>
        <w:rPr>
          <w:rFonts w:hint="eastAsia" w:ascii="Times New Roman" w:hAnsi="Times New Roman" w:eastAsia="宋体"/>
          <w:i w:val="0"/>
          <w:iCs w:val="0"/>
          <w:color w:val="auto"/>
          <w:sz w:val="24"/>
          <w:szCs w:val="24"/>
        </w:rPr>
        <w:t>和图3-</w:t>
      </w:r>
      <w:r>
        <w:rPr>
          <w:rFonts w:hint="eastAsia" w:ascii="Times New Roman" w:hAnsi="Times New Roman" w:eastAsia="宋体"/>
          <w:i w:val="0"/>
          <w:iCs w:val="0"/>
          <w:color w:val="auto"/>
          <w:sz w:val="24"/>
          <w:szCs w:val="24"/>
          <w:lang w:val="en-US" w:eastAsia="zh-CN"/>
        </w:rPr>
        <w:t>3</w:t>
      </w:r>
      <w:r>
        <w:rPr>
          <w:rFonts w:hint="eastAsia" w:ascii="Times New Roman" w:hAnsi="Times New Roman" w:eastAsia="宋体"/>
          <w:i w:val="0"/>
          <w:iCs w:val="0"/>
          <w:color w:val="auto"/>
          <w:sz w:val="24"/>
          <w:szCs w:val="24"/>
        </w:rPr>
        <w:t>所示</w:t>
      </w:r>
      <w:r>
        <w:rPr>
          <w:rFonts w:hint="eastAsia" w:ascii="Times New Roman" w:hAnsi="Times New Roman" w:eastAsia="宋体"/>
          <w:sz w:val="24"/>
          <w:szCs w:val="24"/>
        </w:rPr>
        <w:t>。</w:t>
      </w:r>
    </w:p>
    <w:p w14:paraId="3EBA2F7B">
      <w:pPr>
        <w:spacing w:line="360" w:lineRule="auto"/>
        <w:jc w:val="center"/>
        <w:rPr>
          <w:rFonts w:ascii="Times New Roman" w:hAnsi="Times New Roman" w:eastAsia="宋体"/>
          <w:sz w:val="24"/>
          <w:szCs w:val="24"/>
        </w:rPr>
      </w:pPr>
      <w:r>
        <w:rPr>
          <w:sz w:val="24"/>
        </w:rPr>
        <mc:AlternateContent>
          <mc:Choice Requires="wps">
            <w:drawing>
              <wp:inline distT="0" distB="0" distL="114300" distR="114300">
                <wp:extent cx="4416425" cy="2354580"/>
                <wp:effectExtent l="6350" t="6350" r="22225" b="26670"/>
                <wp:docPr id="1" name="文本框 1"/>
                <wp:cNvGraphicFramePr/>
                <a:graphic xmlns:a="http://schemas.openxmlformats.org/drawingml/2006/main">
                  <a:graphicData uri="http://schemas.microsoft.com/office/word/2010/wordprocessingShape">
                    <wps:wsp>
                      <wps:cNvSpPr txBox="1"/>
                      <wps:spPr>
                        <a:xfrm>
                          <a:off x="2861310" y="3890010"/>
                          <a:ext cx="4416425" cy="23545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EE24C3">
                            <w:pPr>
                              <w:rPr>
                                <w:rFonts w:hint="default"/>
                                <w:lang w:val="en-US" w:eastAsia="zh-CN"/>
                              </w:rPr>
                            </w:pPr>
                            <w:r>
                              <w:rPr>
                                <w:rFonts w:hint="default"/>
                                <w:lang w:val="en-US" w:eastAsia="zh-CN"/>
                              </w:rPr>
                              <w:drawing>
                                <wp:inline distT="0" distB="0" distL="114300" distR="114300">
                                  <wp:extent cx="4211955" cy="2144395"/>
                                  <wp:effectExtent l="0" t="0" r="0" b="0"/>
                                  <wp:docPr id="13" name="图片 13" descr="63e452f9-1c48-4087-a7ad-eceb1919b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3e452f9-1c48-4087-a7ad-eceb1919ba74"/>
                                          <pic:cNvPicPr>
                                            <a:picLocks noChangeAspect="1"/>
                                          </pic:cNvPicPr>
                                        </pic:nvPicPr>
                                        <pic:blipFill>
                                          <a:blip r:embed="rId12"/>
                                          <a:srcRect t="15805" b="10311"/>
                                          <a:stretch>
                                            <a:fillRect/>
                                          </a:stretch>
                                        </pic:blipFill>
                                        <pic:spPr>
                                          <a:xfrm>
                                            <a:off x="0" y="0"/>
                                            <a:ext cx="4211955" cy="2144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85.4pt;width:347.75pt;" fillcolor="#FFFFFF [3201]" filled="t" stroked="t" coordsize="21600,21600" o:gfxdata="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2mMydQAAAAFAQAADwAAAAAAAAABACAAAAAiAAAAZHJzL2Rvd25yZXYueG1sUEsBAhQAFAAA&#10;AAgAh07iQFeTeoZlAgAAxAQAAA4AAAAAAAAAAQAgAAAAIwEAAGRycy9lMm9Eb2MueG1sUEsFBgAA&#10;AAAGAAYAWQEAAPoFAAAAAA==&#10;">
                <v:fill on="t" focussize="0,0"/>
                <v:stroke weight="0.5pt" color="#000000 [3204]" joinstyle="round"/>
                <v:imagedata o:title=""/>
                <o:lock v:ext="edit" aspectratio="f"/>
                <v:textbox>
                  <w:txbxContent>
                    <w:p w14:paraId="0FEE24C3">
                      <w:pPr>
                        <w:rPr>
                          <w:rFonts w:hint="default"/>
                          <w:lang w:val="en-US" w:eastAsia="zh-CN"/>
                        </w:rPr>
                      </w:pPr>
                      <w:r>
                        <w:rPr>
                          <w:rFonts w:hint="default"/>
                          <w:lang w:val="en-US" w:eastAsia="zh-CN"/>
                        </w:rPr>
                        <w:drawing>
                          <wp:inline distT="0" distB="0" distL="114300" distR="114300">
                            <wp:extent cx="4211955" cy="2144395"/>
                            <wp:effectExtent l="0" t="0" r="0" b="0"/>
                            <wp:docPr id="13" name="图片 13" descr="63e452f9-1c48-4087-a7ad-eceb1919b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3e452f9-1c48-4087-a7ad-eceb1919ba74"/>
                                    <pic:cNvPicPr>
                                      <a:picLocks noChangeAspect="1"/>
                                    </pic:cNvPicPr>
                                  </pic:nvPicPr>
                                  <pic:blipFill>
                                    <a:blip r:embed="rId12"/>
                                    <a:srcRect t="15805" b="10311"/>
                                    <a:stretch>
                                      <a:fillRect/>
                                    </a:stretch>
                                  </pic:blipFill>
                                  <pic:spPr>
                                    <a:xfrm>
                                      <a:off x="0" y="0"/>
                                      <a:ext cx="4211955" cy="2144395"/>
                                    </a:xfrm>
                                    <a:prstGeom prst="rect">
                                      <a:avLst/>
                                    </a:prstGeom>
                                  </pic:spPr>
                                </pic:pic>
                              </a:graphicData>
                            </a:graphic>
                          </wp:inline>
                        </w:drawing>
                      </w:r>
                    </w:p>
                  </w:txbxContent>
                </v:textbox>
                <w10:wrap type="none"/>
                <w10:anchorlock/>
              </v:shape>
            </w:pict>
          </mc:Fallback>
        </mc:AlternateContent>
      </w:r>
    </w:p>
    <w:p w14:paraId="5160E08B">
      <w:pPr>
        <w:spacing w:line="360" w:lineRule="auto"/>
        <w:jc w:val="center"/>
        <w:rPr>
          <w:rFonts w:ascii="Times New Roman" w:hAnsi="Times New Roman" w:eastAsia="宋体"/>
          <w:szCs w:val="21"/>
        </w:rPr>
      </w:pPr>
      <w:r>
        <w:rPr>
          <w:rFonts w:hint="eastAsia" w:ascii="Times New Roman" w:hAnsi="Times New Roman" w:eastAsia="宋体"/>
          <w:szCs w:val="21"/>
        </w:rPr>
        <w:t>图3-</w:t>
      </w:r>
      <w:r>
        <w:rPr>
          <w:rFonts w:hint="eastAsia" w:ascii="Times New Roman" w:hAnsi="Times New Roman" w:eastAsia="宋体"/>
          <w:szCs w:val="21"/>
          <w:lang w:val="en-US" w:eastAsia="zh-CN"/>
        </w:rPr>
        <w:t>2</w:t>
      </w:r>
      <w:r>
        <w:rPr>
          <w:rFonts w:hint="eastAsia" w:ascii="Times New Roman" w:hAnsi="Times New Roman" w:eastAsia="宋体"/>
          <w:szCs w:val="21"/>
        </w:rPr>
        <w:t xml:space="preserve"> 报告产品生产地点</w:t>
      </w:r>
    </w:p>
    <w:p w14:paraId="78DA2EB8">
      <w:pPr>
        <w:spacing w:line="360" w:lineRule="auto"/>
        <w:jc w:val="center"/>
        <w:rPr>
          <w:rFonts w:ascii="Times New Roman" w:hAnsi="Times New Roman" w:eastAsia="宋体"/>
          <w:szCs w:val="21"/>
        </w:rPr>
      </w:pPr>
      <w:r>
        <w:rPr>
          <w:sz w:val="24"/>
        </w:rPr>
        <mc:AlternateContent>
          <mc:Choice Requires="wps">
            <w:drawing>
              <wp:inline distT="0" distB="0" distL="114300" distR="114300">
                <wp:extent cx="4416425" cy="2354580"/>
                <wp:effectExtent l="6350" t="6350" r="22225" b="26670"/>
                <wp:docPr id="2" name="文本框 2"/>
                <wp:cNvGraphicFramePr/>
                <a:graphic xmlns:a="http://schemas.openxmlformats.org/drawingml/2006/main">
                  <a:graphicData uri="http://schemas.microsoft.com/office/word/2010/wordprocessingShape">
                    <wps:wsp>
                      <wps:cNvSpPr txBox="1"/>
                      <wps:spPr>
                        <a:xfrm>
                          <a:off x="0" y="0"/>
                          <a:ext cx="4416425" cy="23545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F49D5F">
                            <w:pPr>
                              <w:rPr>
                                <w:rFonts w:hint="default" w:eastAsiaTheme="minorEastAsia"/>
                                <w:i/>
                                <w:iCs/>
                                <w:color w:val="0000FF"/>
                                <w:lang w:val="en-US" w:eastAsia="zh-CN"/>
                              </w:rPr>
                            </w:pPr>
                            <w:r>
                              <w:rPr>
                                <w:rFonts w:hint="default" w:eastAsiaTheme="minorEastAsia"/>
                                <w:i/>
                                <w:iCs/>
                                <w:color w:val="0000FF"/>
                                <w:lang w:val="en-US" w:eastAsia="zh-CN"/>
                              </w:rPr>
                              <w:drawing>
                                <wp:inline distT="0" distB="0" distL="114300" distR="114300">
                                  <wp:extent cx="4224655" cy="2147570"/>
                                  <wp:effectExtent l="0" t="0" r="17145" b="11430"/>
                                  <wp:docPr id="14" name="图片 14" descr="470291de-9a3b-45c4-985c-ae3296d4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70291de-9a3b-45c4-985c-ae3296d44152"/>
                                          <pic:cNvPicPr>
                                            <a:picLocks noChangeAspect="1"/>
                                          </pic:cNvPicPr>
                                        </pic:nvPicPr>
                                        <pic:blipFill>
                                          <a:blip r:embed="rId13"/>
                                          <a:stretch>
                                            <a:fillRect/>
                                          </a:stretch>
                                        </pic:blipFill>
                                        <pic:spPr>
                                          <a:xfrm>
                                            <a:off x="0" y="0"/>
                                            <a:ext cx="4224655" cy="2147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85.4pt;width:347.75pt;" fillcolor="#FFFFFF [3201]" filled="t" stroked="t" coordsize="21600,21600" o:gfxdata="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2mMydQA&#10;AAAFAQAADwAAAAAAAAABACAAAAAiAAAAZHJzL2Rvd25yZXYueG1sUEsBAhQAFAAAAAgAh07iQEN3&#10;svRcAgAAuAQAAA4AAAAAAAAAAQAgAAAAIwEAAGRycy9lMm9Eb2MueG1sUEsFBgAAAAAGAAYAWQEA&#10;APEFAAAAAA==&#10;">
                <v:fill on="t" focussize="0,0"/>
                <v:stroke weight="0.5pt" color="#000000 [3204]" joinstyle="round"/>
                <v:imagedata o:title=""/>
                <o:lock v:ext="edit" aspectratio="f"/>
                <v:textbox>
                  <w:txbxContent>
                    <w:p w14:paraId="4AF49D5F">
                      <w:pPr>
                        <w:rPr>
                          <w:rFonts w:hint="default" w:eastAsiaTheme="minorEastAsia"/>
                          <w:i/>
                          <w:iCs/>
                          <w:color w:val="0000FF"/>
                          <w:lang w:val="en-US" w:eastAsia="zh-CN"/>
                        </w:rPr>
                      </w:pPr>
                      <w:r>
                        <w:rPr>
                          <w:rFonts w:hint="default" w:eastAsiaTheme="minorEastAsia"/>
                          <w:i/>
                          <w:iCs/>
                          <w:color w:val="0000FF"/>
                          <w:lang w:val="en-US" w:eastAsia="zh-CN"/>
                        </w:rPr>
                        <w:drawing>
                          <wp:inline distT="0" distB="0" distL="114300" distR="114300">
                            <wp:extent cx="4224655" cy="2147570"/>
                            <wp:effectExtent l="0" t="0" r="17145" b="11430"/>
                            <wp:docPr id="14" name="图片 14" descr="470291de-9a3b-45c4-985c-ae3296d4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70291de-9a3b-45c4-985c-ae3296d44152"/>
                                    <pic:cNvPicPr>
                                      <a:picLocks noChangeAspect="1"/>
                                    </pic:cNvPicPr>
                                  </pic:nvPicPr>
                                  <pic:blipFill>
                                    <a:blip r:embed="rId13"/>
                                    <a:stretch>
                                      <a:fillRect/>
                                    </a:stretch>
                                  </pic:blipFill>
                                  <pic:spPr>
                                    <a:xfrm>
                                      <a:off x="0" y="0"/>
                                      <a:ext cx="4224655" cy="2147570"/>
                                    </a:xfrm>
                                    <a:prstGeom prst="rect">
                                      <a:avLst/>
                                    </a:prstGeom>
                                  </pic:spPr>
                                </pic:pic>
                              </a:graphicData>
                            </a:graphic>
                          </wp:inline>
                        </w:drawing>
                      </w:r>
                    </w:p>
                  </w:txbxContent>
                </v:textbox>
                <w10:wrap type="none"/>
                <w10:anchorlock/>
              </v:shape>
            </w:pict>
          </mc:Fallback>
        </mc:AlternateContent>
      </w:r>
    </w:p>
    <w:p w14:paraId="32963D8E">
      <w:pPr>
        <w:spacing w:line="360" w:lineRule="auto"/>
        <w:jc w:val="center"/>
        <w:rPr>
          <w:rFonts w:hint="eastAsia" w:ascii="Times New Roman" w:hAnsi="Times New Roman" w:eastAsia="宋体"/>
          <w:szCs w:val="21"/>
        </w:rPr>
      </w:pPr>
      <w:r>
        <w:rPr>
          <w:rFonts w:hint="eastAsia" w:ascii="Times New Roman" w:hAnsi="Times New Roman" w:eastAsia="宋体"/>
          <w:szCs w:val="21"/>
        </w:rPr>
        <w:t>图3-3 报告产品生产厂区卫星照片</w:t>
      </w:r>
    </w:p>
    <w:p w14:paraId="45D2F70A">
      <w:pPr>
        <w:spacing w:line="360" w:lineRule="auto"/>
        <w:jc w:val="center"/>
        <w:rPr>
          <w:rFonts w:hint="eastAsia" w:ascii="Times New Roman" w:hAnsi="Times New Roman" w:eastAsia="宋体"/>
          <w:szCs w:val="21"/>
        </w:rPr>
      </w:pPr>
    </w:p>
    <w:p w14:paraId="31AC5168">
      <w:pPr>
        <w:pStyle w:val="2"/>
        <w:keepNext w:val="0"/>
        <w:keepLines w:val="0"/>
        <w:numPr>
          <w:ilvl w:val="0"/>
          <w:numId w:val="1"/>
        </w:numPr>
        <w:spacing w:before="80" w:line="360" w:lineRule="auto"/>
        <w:ind w:left="442" w:hanging="442"/>
        <w:rPr>
          <w:rFonts w:ascii="Times New Roman" w:hAnsi="Times New Roman" w:eastAsia="宋体"/>
          <w:b/>
          <w:bCs/>
          <w:color w:val="auto"/>
          <w:sz w:val="32"/>
          <w:szCs w:val="32"/>
        </w:rPr>
      </w:pPr>
      <w:bookmarkStart w:id="11" w:name="_Toc8984"/>
      <w:r>
        <w:rPr>
          <w:rFonts w:hint="eastAsia" w:ascii="Times New Roman" w:hAnsi="Times New Roman" w:eastAsia="宋体"/>
          <w:b/>
          <w:bCs/>
          <w:color w:val="auto"/>
          <w:sz w:val="32"/>
          <w:szCs w:val="32"/>
        </w:rPr>
        <w:t>清单分析</w:t>
      </w:r>
      <w:bookmarkEnd w:id="11"/>
    </w:p>
    <w:p w14:paraId="3ABBDF9E">
      <w:pPr>
        <w:pStyle w:val="3"/>
        <w:keepNext w:val="0"/>
        <w:keepLines w:val="0"/>
        <w:numPr>
          <w:ilvl w:val="0"/>
          <w:numId w:val="6"/>
        </w:numPr>
        <w:spacing w:before="80" w:line="360" w:lineRule="auto"/>
        <w:rPr>
          <w:rFonts w:ascii="Times New Roman" w:hAnsi="Times New Roman" w:eastAsia="宋体"/>
          <w:b/>
          <w:bCs/>
          <w:color w:val="auto"/>
          <w:sz w:val="28"/>
          <w:szCs w:val="28"/>
        </w:rPr>
      </w:pPr>
      <w:bookmarkStart w:id="12" w:name="_Toc12485"/>
      <w:r>
        <w:rPr>
          <w:rFonts w:hint="eastAsia" w:ascii="Times New Roman" w:hAnsi="Times New Roman" w:eastAsia="宋体"/>
          <w:b/>
          <w:bCs/>
          <w:color w:val="auto"/>
          <w:sz w:val="28"/>
          <w:szCs w:val="28"/>
        </w:rPr>
        <w:t>数据来源说明</w:t>
      </w:r>
      <w:bookmarkEnd w:id="12"/>
    </w:p>
    <w:p w14:paraId="2D740499">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本报告碳足迹计算涉及的初级数据和次级数据如表4-1所示</w:t>
      </w:r>
      <w:bookmarkStart w:id="13" w:name="_Ref77151506"/>
      <w:r>
        <w:rPr>
          <w:rFonts w:hint="eastAsia" w:ascii="Times New Roman" w:hAnsi="Times New Roman" w:eastAsia="宋体"/>
          <w:sz w:val="24"/>
          <w:szCs w:val="24"/>
        </w:rPr>
        <w:t>.</w:t>
      </w:r>
    </w:p>
    <w:bookmarkEnd w:id="13"/>
    <w:p w14:paraId="52DF22FC">
      <w:pPr>
        <w:pStyle w:val="12"/>
        <w:spacing w:line="360" w:lineRule="auto"/>
        <w:jc w:val="center"/>
        <w:rPr>
          <w:rFonts w:ascii="Times New Roman" w:hAnsi="Times New Roman" w:eastAsia="宋体"/>
          <w:sz w:val="21"/>
        </w:rPr>
      </w:pPr>
      <w:bookmarkStart w:id="14" w:name="_Ref77151514"/>
      <w:bookmarkStart w:id="15" w:name="_Toc180053876"/>
      <w:r>
        <w:rPr>
          <w:rFonts w:ascii="Times New Roman" w:hAnsi="Times New Roman" w:eastAsia="宋体"/>
          <w:i w:val="0"/>
          <w:iCs w:val="0"/>
          <w:color w:val="auto"/>
          <w:sz w:val="21"/>
        </w:rPr>
        <w:t>表</w:t>
      </w:r>
      <w:bookmarkEnd w:id="14"/>
      <w:r>
        <w:rPr>
          <w:rFonts w:hint="eastAsia" w:ascii="Times New Roman" w:hAnsi="Times New Roman" w:eastAsia="宋体"/>
          <w:i w:val="0"/>
          <w:iCs w:val="0"/>
          <w:color w:val="auto"/>
          <w:sz w:val="21"/>
        </w:rPr>
        <w:t>4-1</w:t>
      </w:r>
      <w:r>
        <w:rPr>
          <w:rFonts w:ascii="Times New Roman" w:hAnsi="Times New Roman" w:eastAsia="宋体"/>
          <w:sz w:val="21"/>
        </w:rPr>
        <w:t xml:space="preserve"> </w:t>
      </w:r>
      <w:r>
        <w:rPr>
          <w:rFonts w:hint="eastAsia" w:ascii="Times New Roman" w:hAnsi="Times New Roman" w:eastAsia="宋体"/>
          <w:sz w:val="21"/>
        </w:rPr>
        <w:t>碳足迹评价</w:t>
      </w:r>
      <w:r>
        <w:rPr>
          <w:rFonts w:ascii="Times New Roman" w:hAnsi="Times New Roman" w:eastAsia="宋体"/>
          <w:sz w:val="21"/>
        </w:rPr>
        <w:t>鉴别及数据品质</w:t>
      </w:r>
      <w:bookmarkEnd w:id="15"/>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944"/>
        <w:gridCol w:w="969"/>
        <w:gridCol w:w="2977"/>
        <w:gridCol w:w="2087"/>
      </w:tblGrid>
      <w:tr w14:paraId="5F30A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542" w:type="dxa"/>
            <w:gridSpan w:val="4"/>
            <w:vAlign w:val="center"/>
          </w:tcPr>
          <w:p w14:paraId="2E823B53">
            <w:pPr>
              <w:spacing w:line="276" w:lineRule="auto"/>
              <w:jc w:val="center"/>
              <w:rPr>
                <w:rFonts w:ascii="Times New Roman" w:hAnsi="Times New Roman" w:eastAsia="宋体"/>
                <w:b/>
                <w:szCs w:val="21"/>
              </w:rPr>
            </w:pPr>
            <w:r>
              <w:rPr>
                <w:rFonts w:hint="eastAsia" w:ascii="Times New Roman" w:hAnsi="Times New Roman" w:eastAsia="宋体"/>
                <w:b/>
                <w:szCs w:val="21"/>
              </w:rPr>
              <w:t>数据类别</w:t>
            </w:r>
          </w:p>
        </w:tc>
        <w:tc>
          <w:tcPr>
            <w:tcW w:w="2087" w:type="dxa"/>
            <w:vAlign w:val="center"/>
          </w:tcPr>
          <w:p w14:paraId="552A9F5D">
            <w:pPr>
              <w:spacing w:line="276" w:lineRule="auto"/>
              <w:jc w:val="center"/>
              <w:rPr>
                <w:rFonts w:ascii="Times New Roman" w:hAnsi="Times New Roman" w:eastAsia="宋体"/>
                <w:b/>
                <w:szCs w:val="21"/>
              </w:rPr>
            </w:pPr>
            <w:r>
              <w:rPr>
                <w:rFonts w:hint="eastAsia" w:ascii="Times New Roman" w:hAnsi="Times New Roman" w:eastAsia="宋体"/>
                <w:b/>
                <w:szCs w:val="21"/>
              </w:rPr>
              <w:t>活动数据</w:t>
            </w:r>
            <w:r>
              <w:rPr>
                <w:rFonts w:ascii="Times New Roman" w:hAnsi="Times New Roman" w:eastAsia="宋体"/>
                <w:b/>
                <w:szCs w:val="21"/>
              </w:rPr>
              <w:t>来源</w:t>
            </w:r>
          </w:p>
        </w:tc>
      </w:tr>
      <w:tr w14:paraId="1032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2" w:type="dxa"/>
            <w:vMerge w:val="restart"/>
            <w:vAlign w:val="center"/>
          </w:tcPr>
          <w:p w14:paraId="59F02337">
            <w:pPr>
              <w:spacing w:line="276" w:lineRule="auto"/>
              <w:jc w:val="center"/>
              <w:rPr>
                <w:rFonts w:ascii="Times New Roman" w:hAnsi="Times New Roman" w:eastAsia="宋体"/>
                <w:szCs w:val="21"/>
                <w:highlight w:val="yellow"/>
              </w:rPr>
            </w:pPr>
            <w:r>
              <w:rPr>
                <w:rFonts w:hint="eastAsia" w:ascii="Times New Roman" w:hAnsi="Times New Roman" w:eastAsia="宋体"/>
                <w:szCs w:val="21"/>
              </w:rPr>
              <w:t>初级数据</w:t>
            </w:r>
          </w:p>
        </w:tc>
        <w:tc>
          <w:tcPr>
            <w:tcW w:w="944" w:type="dxa"/>
            <w:vMerge w:val="restart"/>
            <w:vAlign w:val="center"/>
          </w:tcPr>
          <w:p w14:paraId="6C83CFDE">
            <w:pPr>
              <w:spacing w:line="276" w:lineRule="auto"/>
              <w:jc w:val="center"/>
              <w:rPr>
                <w:rFonts w:ascii="Times New Roman" w:hAnsi="Times New Roman" w:eastAsia="宋体"/>
                <w:szCs w:val="21"/>
                <w:highlight w:val="yellow"/>
              </w:rPr>
            </w:pPr>
            <w:r>
              <w:rPr>
                <w:rFonts w:hint="eastAsia" w:ascii="Times New Roman" w:hAnsi="Times New Roman" w:eastAsia="宋体"/>
                <w:szCs w:val="21"/>
              </w:rPr>
              <w:t>特定现场</w:t>
            </w:r>
            <w:r>
              <w:rPr>
                <w:rFonts w:ascii="Times New Roman" w:hAnsi="Times New Roman" w:eastAsia="宋体"/>
                <w:szCs w:val="21"/>
              </w:rPr>
              <w:t>数据</w:t>
            </w:r>
          </w:p>
        </w:tc>
        <w:tc>
          <w:tcPr>
            <w:tcW w:w="969" w:type="dxa"/>
            <w:vMerge w:val="restart"/>
            <w:vAlign w:val="center"/>
          </w:tcPr>
          <w:p w14:paraId="17CA5E27">
            <w:pPr>
              <w:spacing w:line="276" w:lineRule="auto"/>
              <w:jc w:val="center"/>
              <w:rPr>
                <w:rFonts w:ascii="Times New Roman" w:hAnsi="Times New Roman" w:eastAsia="宋体"/>
                <w:szCs w:val="21"/>
                <w:highlight w:val="yellow"/>
              </w:rPr>
            </w:pPr>
            <w:r>
              <w:rPr>
                <w:rFonts w:hint="eastAsia" w:ascii="Times New Roman" w:hAnsi="Times New Roman" w:eastAsia="宋体"/>
                <w:szCs w:val="21"/>
              </w:rPr>
              <w:t>I</w:t>
            </w:r>
            <w:r>
              <w:rPr>
                <w:rFonts w:ascii="Times New Roman" w:hAnsi="Times New Roman" w:eastAsia="宋体"/>
                <w:szCs w:val="21"/>
              </w:rPr>
              <w:t>nputs</w:t>
            </w:r>
          </w:p>
        </w:tc>
        <w:tc>
          <w:tcPr>
            <w:tcW w:w="2977" w:type="dxa"/>
            <w:vAlign w:val="center"/>
          </w:tcPr>
          <w:p w14:paraId="498AC43A">
            <w:pPr>
              <w:keepNext w:val="0"/>
              <w:keepLines w:val="0"/>
              <w:widowControl/>
              <w:suppressLineNumbers w:val="0"/>
              <w:jc w:val="left"/>
              <w:textAlignment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树脂</w:t>
            </w:r>
          </w:p>
        </w:tc>
        <w:tc>
          <w:tcPr>
            <w:tcW w:w="2087" w:type="dxa"/>
            <w:vMerge w:val="restart"/>
            <w:vAlign w:val="center"/>
          </w:tcPr>
          <w:p w14:paraId="6B96B88A">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生产日报，产品物料清单</w:t>
            </w:r>
          </w:p>
        </w:tc>
      </w:tr>
      <w:tr w14:paraId="2F67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2" w:type="dxa"/>
            <w:vMerge w:val="continue"/>
            <w:vAlign w:val="center"/>
          </w:tcPr>
          <w:p w14:paraId="156E1421">
            <w:pPr>
              <w:spacing w:line="276" w:lineRule="auto"/>
              <w:jc w:val="center"/>
              <w:rPr>
                <w:rFonts w:ascii="Times New Roman" w:hAnsi="Times New Roman" w:eastAsia="宋体"/>
                <w:szCs w:val="21"/>
              </w:rPr>
            </w:pPr>
          </w:p>
        </w:tc>
        <w:tc>
          <w:tcPr>
            <w:tcW w:w="944" w:type="dxa"/>
            <w:vMerge w:val="continue"/>
            <w:vAlign w:val="center"/>
          </w:tcPr>
          <w:p w14:paraId="3B06E69E">
            <w:pPr>
              <w:spacing w:line="276" w:lineRule="auto"/>
              <w:jc w:val="center"/>
              <w:rPr>
                <w:rFonts w:ascii="Times New Roman" w:hAnsi="Times New Roman" w:eastAsia="宋体"/>
                <w:szCs w:val="21"/>
              </w:rPr>
            </w:pPr>
          </w:p>
        </w:tc>
        <w:tc>
          <w:tcPr>
            <w:tcW w:w="969" w:type="dxa"/>
            <w:vMerge w:val="continue"/>
            <w:vAlign w:val="center"/>
          </w:tcPr>
          <w:p w14:paraId="12CA10D2">
            <w:pPr>
              <w:spacing w:line="276" w:lineRule="auto"/>
              <w:jc w:val="center"/>
              <w:rPr>
                <w:rFonts w:ascii="Times New Roman" w:hAnsi="Times New Roman" w:eastAsia="宋体"/>
                <w:szCs w:val="21"/>
              </w:rPr>
            </w:pPr>
          </w:p>
        </w:tc>
        <w:tc>
          <w:tcPr>
            <w:tcW w:w="2977" w:type="dxa"/>
            <w:vAlign w:val="center"/>
          </w:tcPr>
          <w:p w14:paraId="6CF3FE76">
            <w:pPr>
              <w:keepNext w:val="0"/>
              <w:keepLines w:val="0"/>
              <w:widowControl/>
              <w:suppressLineNumbers w:val="0"/>
              <w:jc w:val="left"/>
              <w:textAlignment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石粉</w:t>
            </w:r>
          </w:p>
        </w:tc>
        <w:tc>
          <w:tcPr>
            <w:tcW w:w="2087" w:type="dxa"/>
            <w:vMerge w:val="continue"/>
            <w:vAlign w:val="center"/>
          </w:tcPr>
          <w:p w14:paraId="6775DB38">
            <w:pPr>
              <w:spacing w:line="276" w:lineRule="auto"/>
              <w:rPr>
                <w:rFonts w:ascii="Times New Roman" w:hAnsi="Times New Roman" w:eastAsia="宋体"/>
                <w:szCs w:val="21"/>
              </w:rPr>
            </w:pPr>
          </w:p>
        </w:tc>
      </w:tr>
      <w:tr w14:paraId="10FC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2" w:type="dxa"/>
            <w:vMerge w:val="continue"/>
            <w:vAlign w:val="center"/>
          </w:tcPr>
          <w:p w14:paraId="525C27DD">
            <w:pPr>
              <w:spacing w:line="276" w:lineRule="auto"/>
              <w:jc w:val="center"/>
              <w:rPr>
                <w:rFonts w:ascii="Times New Roman" w:hAnsi="Times New Roman" w:eastAsia="宋体"/>
                <w:szCs w:val="21"/>
              </w:rPr>
            </w:pPr>
          </w:p>
        </w:tc>
        <w:tc>
          <w:tcPr>
            <w:tcW w:w="944" w:type="dxa"/>
            <w:vMerge w:val="continue"/>
            <w:vAlign w:val="center"/>
          </w:tcPr>
          <w:p w14:paraId="4D133BFB">
            <w:pPr>
              <w:spacing w:line="276" w:lineRule="auto"/>
              <w:jc w:val="center"/>
              <w:rPr>
                <w:rFonts w:ascii="Times New Roman" w:hAnsi="Times New Roman" w:eastAsia="宋体"/>
                <w:szCs w:val="21"/>
              </w:rPr>
            </w:pPr>
          </w:p>
        </w:tc>
        <w:tc>
          <w:tcPr>
            <w:tcW w:w="969" w:type="dxa"/>
            <w:vMerge w:val="continue"/>
            <w:vAlign w:val="center"/>
          </w:tcPr>
          <w:p w14:paraId="079BA4CE">
            <w:pPr>
              <w:spacing w:line="276" w:lineRule="auto"/>
              <w:jc w:val="center"/>
              <w:rPr>
                <w:rFonts w:ascii="Times New Roman" w:hAnsi="Times New Roman" w:eastAsia="宋体"/>
                <w:szCs w:val="21"/>
              </w:rPr>
            </w:pPr>
          </w:p>
        </w:tc>
        <w:tc>
          <w:tcPr>
            <w:tcW w:w="2977" w:type="dxa"/>
            <w:vAlign w:val="center"/>
          </w:tcPr>
          <w:p w14:paraId="52EBD560">
            <w:pPr>
              <w:keepNext w:val="0"/>
              <w:keepLines w:val="0"/>
              <w:widowControl/>
              <w:suppressLineNumbers w:val="0"/>
              <w:jc w:val="left"/>
              <w:textAlignment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包材</w:t>
            </w:r>
          </w:p>
        </w:tc>
        <w:tc>
          <w:tcPr>
            <w:tcW w:w="2087" w:type="dxa"/>
            <w:vMerge w:val="continue"/>
            <w:vAlign w:val="center"/>
          </w:tcPr>
          <w:p w14:paraId="00F1F2EA">
            <w:pPr>
              <w:spacing w:line="276" w:lineRule="auto"/>
              <w:rPr>
                <w:rFonts w:ascii="Times New Roman" w:hAnsi="Times New Roman" w:eastAsia="宋体"/>
                <w:szCs w:val="21"/>
              </w:rPr>
            </w:pPr>
          </w:p>
        </w:tc>
      </w:tr>
      <w:tr w14:paraId="033F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2" w:type="dxa"/>
            <w:vMerge w:val="continue"/>
            <w:vAlign w:val="center"/>
          </w:tcPr>
          <w:p w14:paraId="0FAE06A7">
            <w:pPr>
              <w:spacing w:line="276" w:lineRule="auto"/>
              <w:jc w:val="center"/>
              <w:rPr>
                <w:rFonts w:ascii="Times New Roman" w:hAnsi="Times New Roman" w:eastAsia="宋体"/>
                <w:szCs w:val="21"/>
              </w:rPr>
            </w:pPr>
          </w:p>
        </w:tc>
        <w:tc>
          <w:tcPr>
            <w:tcW w:w="944" w:type="dxa"/>
            <w:vMerge w:val="continue"/>
            <w:vAlign w:val="center"/>
          </w:tcPr>
          <w:p w14:paraId="3ACD5586">
            <w:pPr>
              <w:spacing w:line="276" w:lineRule="auto"/>
              <w:jc w:val="center"/>
              <w:rPr>
                <w:rFonts w:ascii="Times New Roman" w:hAnsi="Times New Roman" w:eastAsia="宋体"/>
                <w:szCs w:val="21"/>
              </w:rPr>
            </w:pPr>
          </w:p>
        </w:tc>
        <w:tc>
          <w:tcPr>
            <w:tcW w:w="969" w:type="dxa"/>
            <w:vMerge w:val="continue"/>
            <w:vAlign w:val="center"/>
          </w:tcPr>
          <w:p w14:paraId="14E04033">
            <w:pPr>
              <w:spacing w:line="276" w:lineRule="auto"/>
              <w:jc w:val="center"/>
              <w:rPr>
                <w:rFonts w:ascii="Times New Roman" w:hAnsi="Times New Roman" w:eastAsia="宋体"/>
                <w:szCs w:val="21"/>
              </w:rPr>
            </w:pPr>
          </w:p>
        </w:tc>
        <w:tc>
          <w:tcPr>
            <w:tcW w:w="2977" w:type="dxa"/>
            <w:vAlign w:val="center"/>
          </w:tcPr>
          <w:p w14:paraId="0118A57B">
            <w:pPr>
              <w:keepNext w:val="0"/>
              <w:keepLines w:val="0"/>
              <w:widowControl/>
              <w:suppressLineNumbers w:val="0"/>
              <w:jc w:val="left"/>
              <w:textAlignment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包装纸箱</w:t>
            </w:r>
          </w:p>
        </w:tc>
        <w:tc>
          <w:tcPr>
            <w:tcW w:w="2087" w:type="dxa"/>
            <w:vMerge w:val="continue"/>
            <w:vAlign w:val="center"/>
          </w:tcPr>
          <w:p w14:paraId="668C5874">
            <w:pPr>
              <w:spacing w:line="276" w:lineRule="auto"/>
              <w:rPr>
                <w:rFonts w:ascii="Times New Roman" w:hAnsi="Times New Roman" w:eastAsia="宋体"/>
                <w:szCs w:val="21"/>
              </w:rPr>
            </w:pPr>
          </w:p>
        </w:tc>
      </w:tr>
      <w:tr w14:paraId="6041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2" w:type="dxa"/>
            <w:vMerge w:val="continue"/>
            <w:vAlign w:val="center"/>
          </w:tcPr>
          <w:p w14:paraId="088F1FC1">
            <w:pPr>
              <w:spacing w:line="276" w:lineRule="auto"/>
              <w:jc w:val="center"/>
              <w:rPr>
                <w:rFonts w:ascii="Times New Roman" w:hAnsi="Times New Roman" w:eastAsia="宋体"/>
                <w:szCs w:val="21"/>
              </w:rPr>
            </w:pPr>
          </w:p>
        </w:tc>
        <w:tc>
          <w:tcPr>
            <w:tcW w:w="944" w:type="dxa"/>
            <w:vMerge w:val="continue"/>
            <w:vAlign w:val="center"/>
          </w:tcPr>
          <w:p w14:paraId="705CA82C">
            <w:pPr>
              <w:spacing w:line="276" w:lineRule="auto"/>
              <w:jc w:val="center"/>
              <w:rPr>
                <w:rFonts w:ascii="Times New Roman" w:hAnsi="Times New Roman" w:eastAsia="宋体"/>
                <w:szCs w:val="21"/>
              </w:rPr>
            </w:pPr>
          </w:p>
        </w:tc>
        <w:tc>
          <w:tcPr>
            <w:tcW w:w="969" w:type="dxa"/>
            <w:vMerge w:val="continue"/>
            <w:vAlign w:val="center"/>
          </w:tcPr>
          <w:p w14:paraId="0C50DEDB">
            <w:pPr>
              <w:spacing w:line="276" w:lineRule="auto"/>
              <w:jc w:val="center"/>
              <w:rPr>
                <w:rFonts w:ascii="Times New Roman" w:hAnsi="Times New Roman" w:eastAsia="宋体"/>
                <w:szCs w:val="21"/>
              </w:rPr>
            </w:pPr>
          </w:p>
        </w:tc>
        <w:tc>
          <w:tcPr>
            <w:tcW w:w="2977" w:type="dxa"/>
            <w:vAlign w:val="center"/>
          </w:tcPr>
          <w:p w14:paraId="12F2D203">
            <w:pPr>
              <w:keepNext w:val="0"/>
              <w:keepLines w:val="0"/>
              <w:widowControl/>
              <w:suppressLineNumbers w:val="0"/>
              <w:jc w:val="left"/>
              <w:textAlignment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自来水</w:t>
            </w:r>
          </w:p>
        </w:tc>
        <w:tc>
          <w:tcPr>
            <w:tcW w:w="2087" w:type="dxa"/>
            <w:vMerge w:val="continue"/>
            <w:vAlign w:val="center"/>
          </w:tcPr>
          <w:p w14:paraId="44FBB197">
            <w:pPr>
              <w:spacing w:line="276" w:lineRule="auto"/>
              <w:rPr>
                <w:rFonts w:ascii="Times New Roman" w:hAnsi="Times New Roman" w:eastAsia="宋体"/>
                <w:szCs w:val="21"/>
              </w:rPr>
            </w:pPr>
          </w:p>
        </w:tc>
      </w:tr>
      <w:tr w14:paraId="469D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2" w:type="dxa"/>
            <w:vMerge w:val="continue"/>
            <w:vAlign w:val="center"/>
          </w:tcPr>
          <w:p w14:paraId="5D479200">
            <w:pPr>
              <w:spacing w:line="276" w:lineRule="auto"/>
              <w:jc w:val="center"/>
              <w:rPr>
                <w:rFonts w:ascii="Times New Roman" w:hAnsi="Times New Roman" w:eastAsia="宋体"/>
                <w:szCs w:val="21"/>
              </w:rPr>
            </w:pPr>
          </w:p>
        </w:tc>
        <w:tc>
          <w:tcPr>
            <w:tcW w:w="944" w:type="dxa"/>
            <w:vMerge w:val="continue"/>
            <w:vAlign w:val="center"/>
          </w:tcPr>
          <w:p w14:paraId="01B4D173">
            <w:pPr>
              <w:spacing w:line="276" w:lineRule="auto"/>
              <w:jc w:val="center"/>
              <w:rPr>
                <w:rFonts w:ascii="Times New Roman" w:hAnsi="Times New Roman" w:eastAsia="宋体"/>
                <w:szCs w:val="21"/>
              </w:rPr>
            </w:pPr>
          </w:p>
        </w:tc>
        <w:tc>
          <w:tcPr>
            <w:tcW w:w="969" w:type="dxa"/>
            <w:vMerge w:val="restart"/>
            <w:vAlign w:val="center"/>
          </w:tcPr>
          <w:p w14:paraId="10D3E7DF">
            <w:pPr>
              <w:spacing w:line="276" w:lineRule="auto"/>
              <w:jc w:val="center"/>
              <w:rPr>
                <w:rFonts w:ascii="Times New Roman" w:hAnsi="Times New Roman" w:eastAsia="宋体"/>
                <w:szCs w:val="21"/>
              </w:rPr>
            </w:pPr>
            <w:r>
              <w:rPr>
                <w:rFonts w:hint="eastAsia" w:ascii="Times New Roman" w:hAnsi="Times New Roman" w:eastAsia="宋体"/>
                <w:szCs w:val="21"/>
              </w:rPr>
              <w:t>O</w:t>
            </w:r>
            <w:r>
              <w:rPr>
                <w:rFonts w:ascii="Times New Roman" w:hAnsi="Times New Roman" w:eastAsia="宋体"/>
                <w:szCs w:val="21"/>
              </w:rPr>
              <w:t>utputs</w:t>
            </w:r>
          </w:p>
        </w:tc>
        <w:tc>
          <w:tcPr>
            <w:tcW w:w="2977" w:type="dxa"/>
            <w:vAlign w:val="center"/>
          </w:tcPr>
          <w:p w14:paraId="2C73073E">
            <w:pPr>
              <w:spacing w:line="276" w:lineRule="auto"/>
              <w:rPr>
                <w:rFonts w:ascii="Times New Roman" w:hAnsi="Times New Roman" w:eastAsia="宋体"/>
                <w:szCs w:val="21"/>
              </w:rPr>
            </w:pPr>
            <w:r>
              <w:rPr>
                <w:rFonts w:hint="eastAsia" w:ascii="Times New Roman" w:hAnsi="Times New Roman" w:eastAsia="宋体"/>
                <w:szCs w:val="21"/>
              </w:rPr>
              <w:t>产品产量</w:t>
            </w:r>
          </w:p>
        </w:tc>
        <w:tc>
          <w:tcPr>
            <w:tcW w:w="2087" w:type="dxa"/>
            <w:vAlign w:val="center"/>
          </w:tcPr>
          <w:p w14:paraId="53E9ACF7">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产量报表</w:t>
            </w:r>
          </w:p>
        </w:tc>
      </w:tr>
      <w:tr w14:paraId="3774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2" w:type="dxa"/>
            <w:vMerge w:val="continue"/>
            <w:vAlign w:val="center"/>
          </w:tcPr>
          <w:p w14:paraId="5762AE84">
            <w:pPr>
              <w:spacing w:line="276" w:lineRule="auto"/>
              <w:jc w:val="center"/>
              <w:rPr>
                <w:rFonts w:ascii="Times New Roman" w:hAnsi="Times New Roman" w:eastAsia="宋体"/>
                <w:szCs w:val="21"/>
              </w:rPr>
            </w:pPr>
          </w:p>
        </w:tc>
        <w:tc>
          <w:tcPr>
            <w:tcW w:w="944" w:type="dxa"/>
            <w:vMerge w:val="continue"/>
            <w:vAlign w:val="center"/>
          </w:tcPr>
          <w:p w14:paraId="1AF09DE0">
            <w:pPr>
              <w:spacing w:line="276" w:lineRule="auto"/>
              <w:jc w:val="center"/>
              <w:rPr>
                <w:rFonts w:ascii="Times New Roman" w:hAnsi="Times New Roman" w:eastAsia="宋体"/>
                <w:szCs w:val="21"/>
              </w:rPr>
            </w:pPr>
          </w:p>
        </w:tc>
        <w:tc>
          <w:tcPr>
            <w:tcW w:w="969" w:type="dxa"/>
            <w:vMerge w:val="continue"/>
            <w:vAlign w:val="center"/>
          </w:tcPr>
          <w:p w14:paraId="1DB2C4B7">
            <w:pPr>
              <w:spacing w:line="276" w:lineRule="auto"/>
              <w:jc w:val="center"/>
              <w:rPr>
                <w:rFonts w:hint="eastAsia" w:ascii="Times New Roman" w:hAnsi="Times New Roman" w:eastAsia="宋体"/>
                <w:szCs w:val="21"/>
              </w:rPr>
            </w:pPr>
          </w:p>
        </w:tc>
        <w:tc>
          <w:tcPr>
            <w:tcW w:w="2977" w:type="dxa"/>
            <w:vAlign w:val="center"/>
          </w:tcPr>
          <w:p w14:paraId="6325373F">
            <w:pPr>
              <w:spacing w:line="276" w:lineRule="auto"/>
              <w:rPr>
                <w:rFonts w:hint="eastAsia" w:ascii="Times New Roman" w:hAnsi="Times New Roman" w:eastAsia="宋体"/>
                <w:szCs w:val="21"/>
              </w:rPr>
            </w:pPr>
            <w:r>
              <w:rPr>
                <w:rFonts w:hint="eastAsia" w:ascii="Times New Roman" w:hAnsi="Times New Roman" w:eastAsia="宋体"/>
                <w:szCs w:val="21"/>
                <w:lang w:val="en-US" w:eastAsia="zh-CN"/>
              </w:rPr>
              <w:t>固废</w:t>
            </w:r>
          </w:p>
        </w:tc>
        <w:tc>
          <w:tcPr>
            <w:tcW w:w="2087" w:type="dxa"/>
            <w:vAlign w:val="center"/>
          </w:tcPr>
          <w:p w14:paraId="4D716E5C">
            <w:pPr>
              <w:spacing w:line="276" w:lineRule="auto"/>
              <w:rPr>
                <w:rFonts w:hint="eastAsia" w:ascii="Times New Roman" w:hAnsi="Times New Roman" w:eastAsia="宋体"/>
                <w:szCs w:val="21"/>
                <w:lang w:val="en-US" w:eastAsia="zh-CN"/>
              </w:rPr>
            </w:pPr>
            <w:r>
              <w:rPr>
                <w:rFonts w:hint="eastAsia" w:ascii="Times New Roman" w:hAnsi="Times New Roman" w:eastAsia="宋体"/>
                <w:szCs w:val="21"/>
                <w:lang w:val="en-US" w:eastAsia="zh-CN"/>
              </w:rPr>
              <w:t>固废出入库清单</w:t>
            </w:r>
          </w:p>
        </w:tc>
      </w:tr>
      <w:tr w14:paraId="4EC2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2" w:type="dxa"/>
            <w:vMerge w:val="continue"/>
            <w:vAlign w:val="center"/>
          </w:tcPr>
          <w:p w14:paraId="0B7F278C">
            <w:pPr>
              <w:spacing w:line="276" w:lineRule="auto"/>
              <w:jc w:val="center"/>
              <w:rPr>
                <w:rFonts w:ascii="Times New Roman" w:hAnsi="Times New Roman" w:eastAsia="宋体"/>
                <w:szCs w:val="21"/>
              </w:rPr>
            </w:pPr>
          </w:p>
        </w:tc>
        <w:tc>
          <w:tcPr>
            <w:tcW w:w="944" w:type="dxa"/>
            <w:vMerge w:val="continue"/>
            <w:vAlign w:val="center"/>
          </w:tcPr>
          <w:p w14:paraId="270C82A5">
            <w:pPr>
              <w:spacing w:line="276" w:lineRule="auto"/>
              <w:jc w:val="center"/>
              <w:rPr>
                <w:rFonts w:ascii="Times New Roman" w:hAnsi="Times New Roman" w:eastAsia="宋体"/>
                <w:szCs w:val="21"/>
              </w:rPr>
            </w:pPr>
          </w:p>
        </w:tc>
        <w:tc>
          <w:tcPr>
            <w:tcW w:w="969" w:type="dxa"/>
            <w:vMerge w:val="continue"/>
            <w:vAlign w:val="center"/>
          </w:tcPr>
          <w:p w14:paraId="4FB1F58E">
            <w:pPr>
              <w:spacing w:line="276" w:lineRule="auto"/>
              <w:jc w:val="center"/>
              <w:rPr>
                <w:rFonts w:hint="eastAsia" w:ascii="Times New Roman" w:hAnsi="Times New Roman" w:eastAsia="宋体"/>
                <w:szCs w:val="21"/>
              </w:rPr>
            </w:pPr>
          </w:p>
        </w:tc>
        <w:tc>
          <w:tcPr>
            <w:tcW w:w="2977" w:type="dxa"/>
            <w:vAlign w:val="center"/>
          </w:tcPr>
          <w:p w14:paraId="09B9DE0D">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废水</w:t>
            </w:r>
          </w:p>
        </w:tc>
        <w:tc>
          <w:tcPr>
            <w:tcW w:w="2087" w:type="dxa"/>
            <w:vAlign w:val="center"/>
          </w:tcPr>
          <w:p w14:paraId="08870DD3">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废水台账</w:t>
            </w:r>
          </w:p>
        </w:tc>
      </w:tr>
      <w:tr w14:paraId="19ED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2" w:type="dxa"/>
            <w:vMerge w:val="continue"/>
            <w:vAlign w:val="center"/>
          </w:tcPr>
          <w:p w14:paraId="59D27A68">
            <w:pPr>
              <w:spacing w:line="276" w:lineRule="auto"/>
              <w:jc w:val="center"/>
              <w:rPr>
                <w:rFonts w:ascii="Times New Roman" w:hAnsi="Times New Roman" w:eastAsia="宋体"/>
                <w:szCs w:val="21"/>
              </w:rPr>
            </w:pPr>
          </w:p>
        </w:tc>
        <w:tc>
          <w:tcPr>
            <w:tcW w:w="944" w:type="dxa"/>
            <w:vMerge w:val="continue"/>
            <w:vAlign w:val="center"/>
          </w:tcPr>
          <w:p w14:paraId="4C0FAA67">
            <w:pPr>
              <w:spacing w:line="276" w:lineRule="auto"/>
              <w:jc w:val="center"/>
              <w:rPr>
                <w:rFonts w:ascii="Times New Roman" w:hAnsi="Times New Roman" w:eastAsia="宋体"/>
                <w:szCs w:val="21"/>
              </w:rPr>
            </w:pPr>
          </w:p>
        </w:tc>
        <w:tc>
          <w:tcPr>
            <w:tcW w:w="969" w:type="dxa"/>
            <w:vMerge w:val="restart"/>
            <w:vAlign w:val="center"/>
          </w:tcPr>
          <w:p w14:paraId="5388BBDE">
            <w:pPr>
              <w:spacing w:line="276" w:lineRule="auto"/>
              <w:jc w:val="center"/>
              <w:rPr>
                <w:rFonts w:ascii="Times New Roman" w:hAnsi="Times New Roman" w:eastAsia="宋体"/>
                <w:szCs w:val="21"/>
              </w:rPr>
            </w:pPr>
            <w:r>
              <w:rPr>
                <w:rFonts w:hint="eastAsia" w:ascii="Times New Roman" w:hAnsi="Times New Roman" w:eastAsia="宋体"/>
                <w:szCs w:val="21"/>
              </w:rPr>
              <w:t>E</w:t>
            </w:r>
            <w:r>
              <w:rPr>
                <w:rFonts w:ascii="Times New Roman" w:hAnsi="Times New Roman" w:eastAsia="宋体"/>
                <w:szCs w:val="21"/>
              </w:rPr>
              <w:t>nergy used</w:t>
            </w:r>
          </w:p>
        </w:tc>
        <w:tc>
          <w:tcPr>
            <w:tcW w:w="2977" w:type="dxa"/>
            <w:vAlign w:val="center"/>
          </w:tcPr>
          <w:p w14:paraId="601BC7C3">
            <w:pPr>
              <w:spacing w:line="276" w:lineRule="auto"/>
              <w:rPr>
                <w:rFonts w:hint="eastAsia" w:ascii="Times New Roman" w:hAnsi="Times New Roman" w:eastAsia="宋体"/>
                <w:szCs w:val="21"/>
                <w:lang w:val="en-US" w:eastAsia="zh-CN"/>
              </w:rPr>
            </w:pPr>
            <w:r>
              <w:rPr>
                <w:rFonts w:hint="eastAsia" w:ascii="Times New Roman" w:hAnsi="Times New Roman" w:eastAsia="宋体"/>
                <w:szCs w:val="21"/>
              </w:rPr>
              <w:t>外购电</w:t>
            </w:r>
          </w:p>
        </w:tc>
        <w:tc>
          <w:tcPr>
            <w:tcW w:w="2087" w:type="dxa"/>
            <w:vAlign w:val="center"/>
          </w:tcPr>
          <w:p w14:paraId="21BEBC5F">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电力发票和账单</w:t>
            </w:r>
          </w:p>
        </w:tc>
      </w:tr>
      <w:tr w14:paraId="71861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652" w:type="dxa"/>
            <w:vMerge w:val="continue"/>
            <w:vAlign w:val="center"/>
          </w:tcPr>
          <w:p w14:paraId="115055C7">
            <w:pPr>
              <w:spacing w:line="276" w:lineRule="auto"/>
              <w:jc w:val="center"/>
              <w:rPr>
                <w:rFonts w:ascii="Times New Roman" w:hAnsi="Times New Roman" w:eastAsia="宋体"/>
                <w:szCs w:val="21"/>
              </w:rPr>
            </w:pPr>
          </w:p>
        </w:tc>
        <w:tc>
          <w:tcPr>
            <w:tcW w:w="944" w:type="dxa"/>
            <w:vMerge w:val="continue"/>
            <w:vAlign w:val="center"/>
          </w:tcPr>
          <w:p w14:paraId="44E7F002">
            <w:pPr>
              <w:spacing w:line="276" w:lineRule="auto"/>
              <w:jc w:val="center"/>
              <w:rPr>
                <w:rFonts w:ascii="Times New Roman" w:hAnsi="Times New Roman" w:eastAsia="宋体"/>
                <w:szCs w:val="21"/>
              </w:rPr>
            </w:pPr>
          </w:p>
        </w:tc>
        <w:tc>
          <w:tcPr>
            <w:tcW w:w="969" w:type="dxa"/>
            <w:vMerge w:val="continue"/>
            <w:vAlign w:val="center"/>
          </w:tcPr>
          <w:p w14:paraId="10EF5D3D">
            <w:pPr>
              <w:spacing w:line="276" w:lineRule="auto"/>
              <w:jc w:val="center"/>
              <w:rPr>
                <w:rFonts w:ascii="Times New Roman" w:hAnsi="Times New Roman" w:eastAsia="宋体"/>
                <w:szCs w:val="21"/>
              </w:rPr>
            </w:pPr>
          </w:p>
        </w:tc>
        <w:tc>
          <w:tcPr>
            <w:tcW w:w="2977" w:type="dxa"/>
            <w:vAlign w:val="center"/>
          </w:tcPr>
          <w:p w14:paraId="49D89ED6">
            <w:pPr>
              <w:spacing w:line="276" w:lineRule="auto"/>
              <w:rPr>
                <w:rFonts w:hint="eastAsia" w:ascii="Times New Roman" w:hAnsi="Times New Roman" w:eastAsia="宋体"/>
                <w:szCs w:val="21"/>
                <w:lang w:val="en-US" w:eastAsia="zh-CN"/>
              </w:rPr>
            </w:pPr>
            <w:r>
              <w:rPr>
                <w:rFonts w:hint="eastAsia" w:ascii="Times New Roman" w:hAnsi="Times New Roman" w:eastAsia="宋体"/>
                <w:szCs w:val="21"/>
                <w:lang w:val="en-US" w:eastAsia="zh-CN"/>
              </w:rPr>
              <w:t>天然气</w:t>
            </w:r>
          </w:p>
        </w:tc>
        <w:tc>
          <w:tcPr>
            <w:tcW w:w="2087" w:type="dxa"/>
            <w:vAlign w:val="center"/>
          </w:tcPr>
          <w:p w14:paraId="165261FE">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燃气发票和账单</w:t>
            </w:r>
          </w:p>
        </w:tc>
      </w:tr>
      <w:tr w14:paraId="6C32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2" w:type="dxa"/>
            <w:vMerge w:val="restart"/>
            <w:tcBorders>
              <w:bottom w:val="single" w:color="auto" w:sz="4" w:space="0"/>
            </w:tcBorders>
            <w:vAlign w:val="center"/>
          </w:tcPr>
          <w:p w14:paraId="1F4E6BD6">
            <w:pPr>
              <w:spacing w:line="276" w:lineRule="auto"/>
              <w:ind w:left="113" w:right="113"/>
              <w:jc w:val="center"/>
              <w:rPr>
                <w:rFonts w:ascii="Times New Roman" w:hAnsi="Times New Roman" w:eastAsia="宋体"/>
                <w:szCs w:val="21"/>
              </w:rPr>
            </w:pPr>
            <w:r>
              <w:rPr>
                <w:rFonts w:hint="eastAsia" w:ascii="Times New Roman" w:hAnsi="Times New Roman" w:eastAsia="宋体"/>
                <w:szCs w:val="21"/>
              </w:rPr>
              <w:t>次级数据</w:t>
            </w:r>
          </w:p>
        </w:tc>
        <w:tc>
          <w:tcPr>
            <w:tcW w:w="1913" w:type="dxa"/>
            <w:gridSpan w:val="2"/>
            <w:vMerge w:val="restart"/>
            <w:vAlign w:val="center"/>
          </w:tcPr>
          <w:p w14:paraId="1E8BADBC">
            <w:pPr>
              <w:spacing w:line="276" w:lineRule="auto"/>
              <w:jc w:val="center"/>
              <w:rPr>
                <w:rFonts w:ascii="Times New Roman" w:hAnsi="Times New Roman" w:eastAsia="宋体"/>
                <w:szCs w:val="21"/>
              </w:rPr>
            </w:pPr>
            <w:r>
              <w:rPr>
                <w:rFonts w:hint="eastAsia" w:ascii="Times New Roman" w:hAnsi="Times New Roman" w:eastAsia="宋体"/>
                <w:szCs w:val="21"/>
              </w:rPr>
              <w:t>LCA因子</w:t>
            </w:r>
          </w:p>
        </w:tc>
        <w:tc>
          <w:tcPr>
            <w:tcW w:w="2977" w:type="dxa"/>
            <w:tcBorders>
              <w:bottom w:val="single" w:color="auto" w:sz="4" w:space="0"/>
            </w:tcBorders>
            <w:vAlign w:val="center"/>
          </w:tcPr>
          <w:p w14:paraId="6F94D997">
            <w:pPr>
              <w:keepNext w:val="0"/>
              <w:keepLines w:val="0"/>
              <w:widowControl/>
              <w:suppressLineNumbers w:val="0"/>
              <w:jc w:val="left"/>
              <w:textAlignment w:val="center"/>
              <w:rPr>
                <w:rFonts w:hint="default" w:ascii="Times New Roman" w:hAnsi="Times New Roman" w:eastAsia="宋体"/>
                <w:szCs w:val="21"/>
                <w:highlight w:val="yellow"/>
                <w:lang w:val="en-US"/>
              </w:rPr>
            </w:pPr>
            <w:r>
              <w:rPr>
                <w:rFonts w:hint="eastAsia" w:ascii="Times New Roman" w:hAnsi="Times New Roman" w:eastAsia="宋体"/>
                <w:szCs w:val="21"/>
                <w:lang w:val="en-US" w:eastAsia="zh-CN"/>
              </w:rPr>
              <w:t>树脂</w:t>
            </w:r>
            <w:r>
              <w:rPr>
                <w:rFonts w:hint="eastAsia" w:ascii="宋体" w:hAnsi="宋体" w:eastAsia="宋体" w:cs="宋体"/>
                <w:i w:val="0"/>
                <w:iCs w:val="0"/>
                <w:color w:val="000000"/>
                <w:kern w:val="0"/>
                <w:sz w:val="22"/>
                <w:szCs w:val="22"/>
                <w:u w:val="none"/>
                <w:lang w:val="en-US" w:eastAsia="zh-CN" w:bidi="ar"/>
              </w:rPr>
              <w:t>上游排放因子</w:t>
            </w:r>
          </w:p>
        </w:tc>
        <w:tc>
          <w:tcPr>
            <w:tcW w:w="2087" w:type="dxa"/>
            <w:vMerge w:val="restart"/>
            <w:vAlign w:val="center"/>
          </w:tcPr>
          <w:p w14:paraId="2436FA72">
            <w:pPr>
              <w:spacing w:line="276" w:lineRule="auto"/>
              <w:rPr>
                <w:rFonts w:hint="default" w:ascii="Times New Roman" w:hAnsi="Times New Roman" w:eastAsia="宋体"/>
                <w:szCs w:val="21"/>
                <w:lang w:val="en-US" w:eastAsia="zh-CN"/>
              </w:rPr>
            </w:pPr>
            <w:r>
              <w:rPr>
                <w:rFonts w:hint="default" w:ascii="Times New Roman" w:hAnsi="Times New Roman" w:eastAsia="宋体"/>
                <w:szCs w:val="21"/>
                <w:lang w:val="en-US"/>
              </w:rPr>
              <w:t>E</w:t>
            </w:r>
            <w:r>
              <w:rPr>
                <w:rFonts w:hint="eastAsia" w:ascii="Times New Roman" w:hAnsi="Times New Roman" w:eastAsia="宋体"/>
                <w:szCs w:val="21"/>
                <w:lang w:val="en-US" w:eastAsia="zh-CN"/>
              </w:rPr>
              <w:t>coinvent</w:t>
            </w:r>
            <w:r>
              <w:rPr>
                <w:rFonts w:hint="default" w:ascii="Times New Roman" w:hAnsi="Times New Roman" w:eastAsia="宋体"/>
                <w:szCs w:val="21"/>
                <w:lang w:val="en-US" w:eastAsia="zh-CN"/>
              </w:rPr>
              <w:t>3.10</w:t>
            </w:r>
          </w:p>
        </w:tc>
      </w:tr>
      <w:tr w14:paraId="6E91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2" w:type="dxa"/>
            <w:vMerge w:val="continue"/>
            <w:tcBorders>
              <w:bottom w:val="single" w:color="auto" w:sz="4" w:space="0"/>
            </w:tcBorders>
            <w:vAlign w:val="center"/>
          </w:tcPr>
          <w:p w14:paraId="70A04C34">
            <w:pPr>
              <w:spacing w:line="276" w:lineRule="auto"/>
              <w:ind w:left="113" w:right="113"/>
              <w:jc w:val="center"/>
              <w:rPr>
                <w:rFonts w:ascii="Times New Roman" w:hAnsi="Times New Roman" w:eastAsia="宋体"/>
                <w:szCs w:val="21"/>
              </w:rPr>
            </w:pPr>
          </w:p>
        </w:tc>
        <w:tc>
          <w:tcPr>
            <w:tcW w:w="1913" w:type="dxa"/>
            <w:gridSpan w:val="2"/>
            <w:vMerge w:val="continue"/>
            <w:vAlign w:val="center"/>
          </w:tcPr>
          <w:p w14:paraId="509855A2">
            <w:pPr>
              <w:spacing w:line="276" w:lineRule="auto"/>
              <w:jc w:val="center"/>
              <w:rPr>
                <w:rFonts w:ascii="Times New Roman" w:hAnsi="Times New Roman" w:eastAsia="宋体"/>
                <w:szCs w:val="21"/>
              </w:rPr>
            </w:pPr>
          </w:p>
        </w:tc>
        <w:tc>
          <w:tcPr>
            <w:tcW w:w="2977" w:type="dxa"/>
            <w:tcBorders>
              <w:bottom w:val="single" w:color="auto" w:sz="4" w:space="0"/>
            </w:tcBorders>
            <w:vAlign w:val="center"/>
          </w:tcPr>
          <w:p w14:paraId="7F1A13AB">
            <w:pPr>
              <w:keepNext w:val="0"/>
              <w:keepLines w:val="0"/>
              <w:widowControl/>
              <w:suppressLineNumbers w:val="0"/>
              <w:jc w:val="left"/>
              <w:textAlignment w:val="center"/>
              <w:rPr>
                <w:rFonts w:ascii="Times New Roman" w:hAnsi="Times New Roman" w:eastAsia="宋体"/>
                <w:szCs w:val="21"/>
              </w:rPr>
            </w:pPr>
            <w:r>
              <w:rPr>
                <w:rFonts w:hint="eastAsia" w:ascii="Times New Roman" w:hAnsi="Times New Roman" w:eastAsia="宋体"/>
                <w:szCs w:val="21"/>
                <w:lang w:val="en-US" w:eastAsia="zh-CN"/>
              </w:rPr>
              <w:t>石粉</w:t>
            </w:r>
            <w:r>
              <w:rPr>
                <w:rFonts w:hint="eastAsia" w:ascii="宋体" w:hAnsi="宋体" w:eastAsia="宋体" w:cs="宋体"/>
                <w:i w:val="0"/>
                <w:iCs w:val="0"/>
                <w:color w:val="000000"/>
                <w:kern w:val="0"/>
                <w:sz w:val="22"/>
                <w:szCs w:val="22"/>
                <w:u w:val="none"/>
                <w:lang w:val="en-US" w:eastAsia="zh-CN" w:bidi="ar"/>
              </w:rPr>
              <w:t>上游排放因子</w:t>
            </w:r>
          </w:p>
        </w:tc>
        <w:tc>
          <w:tcPr>
            <w:tcW w:w="2087" w:type="dxa"/>
            <w:vMerge w:val="continue"/>
            <w:vAlign w:val="center"/>
          </w:tcPr>
          <w:p w14:paraId="267195F0">
            <w:pPr>
              <w:spacing w:line="276" w:lineRule="auto"/>
              <w:rPr>
                <w:rFonts w:ascii="Times New Roman" w:hAnsi="Times New Roman" w:eastAsia="宋体"/>
                <w:szCs w:val="21"/>
              </w:rPr>
            </w:pPr>
          </w:p>
        </w:tc>
      </w:tr>
      <w:tr w14:paraId="3CD1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2" w:type="dxa"/>
            <w:vMerge w:val="continue"/>
            <w:tcBorders>
              <w:bottom w:val="single" w:color="auto" w:sz="4" w:space="0"/>
            </w:tcBorders>
            <w:vAlign w:val="center"/>
          </w:tcPr>
          <w:p w14:paraId="48AA4E40">
            <w:pPr>
              <w:spacing w:line="276" w:lineRule="auto"/>
              <w:ind w:left="113" w:right="113"/>
              <w:jc w:val="center"/>
              <w:rPr>
                <w:rFonts w:ascii="Times New Roman" w:hAnsi="Times New Roman" w:eastAsia="宋体"/>
                <w:szCs w:val="21"/>
              </w:rPr>
            </w:pPr>
          </w:p>
        </w:tc>
        <w:tc>
          <w:tcPr>
            <w:tcW w:w="1913" w:type="dxa"/>
            <w:gridSpan w:val="2"/>
            <w:vMerge w:val="continue"/>
            <w:vAlign w:val="center"/>
          </w:tcPr>
          <w:p w14:paraId="297C24F5">
            <w:pPr>
              <w:spacing w:line="276" w:lineRule="auto"/>
              <w:jc w:val="center"/>
              <w:rPr>
                <w:rFonts w:ascii="Times New Roman" w:hAnsi="Times New Roman" w:eastAsia="宋体"/>
                <w:szCs w:val="21"/>
              </w:rPr>
            </w:pPr>
          </w:p>
        </w:tc>
        <w:tc>
          <w:tcPr>
            <w:tcW w:w="2977" w:type="dxa"/>
            <w:tcBorders>
              <w:bottom w:val="single" w:color="auto" w:sz="4" w:space="0"/>
            </w:tcBorders>
            <w:vAlign w:val="center"/>
          </w:tcPr>
          <w:p w14:paraId="2ACAC036">
            <w:pPr>
              <w:keepNext w:val="0"/>
              <w:keepLines w:val="0"/>
              <w:widowControl/>
              <w:suppressLineNumbers w:val="0"/>
              <w:jc w:val="left"/>
              <w:textAlignment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包材</w:t>
            </w:r>
            <w:r>
              <w:rPr>
                <w:rFonts w:hint="eastAsia" w:ascii="宋体" w:hAnsi="宋体" w:eastAsia="宋体" w:cs="宋体"/>
                <w:i w:val="0"/>
                <w:iCs w:val="0"/>
                <w:color w:val="000000"/>
                <w:kern w:val="0"/>
                <w:sz w:val="22"/>
                <w:szCs w:val="22"/>
                <w:u w:val="none"/>
                <w:lang w:val="en-US" w:eastAsia="zh-CN" w:bidi="ar"/>
              </w:rPr>
              <w:t>上游排放因子</w:t>
            </w:r>
          </w:p>
        </w:tc>
        <w:tc>
          <w:tcPr>
            <w:tcW w:w="2087" w:type="dxa"/>
            <w:vMerge w:val="continue"/>
            <w:vAlign w:val="center"/>
          </w:tcPr>
          <w:p w14:paraId="7FE3DEAD">
            <w:pPr>
              <w:spacing w:line="276" w:lineRule="auto"/>
              <w:rPr>
                <w:rFonts w:ascii="Times New Roman" w:hAnsi="Times New Roman" w:eastAsia="宋体"/>
                <w:szCs w:val="21"/>
              </w:rPr>
            </w:pPr>
          </w:p>
        </w:tc>
      </w:tr>
      <w:tr w14:paraId="7DF2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2" w:type="dxa"/>
            <w:vMerge w:val="continue"/>
            <w:tcBorders>
              <w:bottom w:val="single" w:color="auto" w:sz="4" w:space="0"/>
            </w:tcBorders>
            <w:vAlign w:val="center"/>
          </w:tcPr>
          <w:p w14:paraId="052478BA">
            <w:pPr>
              <w:spacing w:line="276" w:lineRule="auto"/>
              <w:ind w:left="113" w:right="113"/>
              <w:jc w:val="center"/>
              <w:rPr>
                <w:rFonts w:ascii="Times New Roman" w:hAnsi="Times New Roman" w:eastAsia="宋体"/>
                <w:szCs w:val="21"/>
              </w:rPr>
            </w:pPr>
          </w:p>
        </w:tc>
        <w:tc>
          <w:tcPr>
            <w:tcW w:w="1913" w:type="dxa"/>
            <w:gridSpan w:val="2"/>
            <w:vMerge w:val="continue"/>
            <w:vAlign w:val="center"/>
          </w:tcPr>
          <w:p w14:paraId="264A83DC">
            <w:pPr>
              <w:spacing w:line="276" w:lineRule="auto"/>
              <w:jc w:val="center"/>
              <w:rPr>
                <w:rFonts w:ascii="Times New Roman" w:hAnsi="Times New Roman" w:eastAsia="宋体"/>
                <w:szCs w:val="21"/>
              </w:rPr>
            </w:pPr>
          </w:p>
        </w:tc>
        <w:tc>
          <w:tcPr>
            <w:tcW w:w="2977" w:type="dxa"/>
            <w:tcBorders>
              <w:bottom w:val="single" w:color="auto" w:sz="4" w:space="0"/>
            </w:tcBorders>
            <w:vAlign w:val="center"/>
          </w:tcPr>
          <w:p w14:paraId="2B206BB9">
            <w:pPr>
              <w:keepNext w:val="0"/>
              <w:keepLines w:val="0"/>
              <w:widowControl/>
              <w:suppressLineNumbers w:val="0"/>
              <w:jc w:val="left"/>
              <w:textAlignment w:val="center"/>
              <w:rPr>
                <w:rFonts w:hint="eastAsia" w:ascii="Times New Roman" w:hAnsi="Times New Roman" w:eastAsia="宋体"/>
                <w:szCs w:val="21"/>
              </w:rPr>
            </w:pPr>
            <w:r>
              <w:rPr>
                <w:rFonts w:hint="eastAsia" w:ascii="宋体" w:hAnsi="宋体" w:eastAsia="宋体" w:cs="宋体"/>
                <w:i w:val="0"/>
                <w:iCs w:val="0"/>
                <w:color w:val="000000"/>
                <w:kern w:val="0"/>
                <w:sz w:val="22"/>
                <w:szCs w:val="22"/>
                <w:u w:val="none"/>
                <w:lang w:val="en-US" w:eastAsia="zh-CN" w:bidi="ar"/>
              </w:rPr>
              <w:t>包装纸箱上游排放因子</w:t>
            </w:r>
          </w:p>
        </w:tc>
        <w:tc>
          <w:tcPr>
            <w:tcW w:w="2087" w:type="dxa"/>
            <w:vMerge w:val="continue"/>
            <w:vAlign w:val="center"/>
          </w:tcPr>
          <w:p w14:paraId="244F7983">
            <w:pPr>
              <w:spacing w:line="276" w:lineRule="auto"/>
              <w:rPr>
                <w:rFonts w:ascii="Times New Roman" w:hAnsi="Times New Roman" w:eastAsia="宋体"/>
                <w:szCs w:val="21"/>
              </w:rPr>
            </w:pPr>
          </w:p>
        </w:tc>
      </w:tr>
      <w:tr w14:paraId="3FEA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14:paraId="61BA831D">
            <w:pPr>
              <w:spacing w:line="276" w:lineRule="auto"/>
              <w:jc w:val="center"/>
              <w:rPr>
                <w:rFonts w:ascii="Times New Roman" w:hAnsi="Times New Roman" w:eastAsia="宋体"/>
                <w:szCs w:val="21"/>
              </w:rPr>
            </w:pPr>
          </w:p>
        </w:tc>
        <w:tc>
          <w:tcPr>
            <w:tcW w:w="1913" w:type="dxa"/>
            <w:gridSpan w:val="2"/>
            <w:vMerge w:val="continue"/>
            <w:vAlign w:val="center"/>
          </w:tcPr>
          <w:p w14:paraId="4B44D36A">
            <w:pPr>
              <w:spacing w:line="276" w:lineRule="auto"/>
              <w:jc w:val="center"/>
              <w:rPr>
                <w:rFonts w:ascii="Times New Roman" w:hAnsi="Times New Roman" w:eastAsia="宋体"/>
                <w:szCs w:val="21"/>
              </w:rPr>
            </w:pPr>
          </w:p>
        </w:tc>
        <w:tc>
          <w:tcPr>
            <w:tcW w:w="2977" w:type="dxa"/>
            <w:vAlign w:val="center"/>
          </w:tcPr>
          <w:p w14:paraId="2A6F6838">
            <w:pPr>
              <w:keepNext w:val="0"/>
              <w:keepLines w:val="0"/>
              <w:widowControl/>
              <w:suppressLineNumbers w:val="0"/>
              <w:jc w:val="left"/>
              <w:textAlignment w:val="center"/>
              <w:rPr>
                <w:rFonts w:ascii="Times New Roman" w:hAnsi="Times New Roman" w:eastAsia="宋体"/>
                <w:szCs w:val="21"/>
              </w:rPr>
            </w:pPr>
            <w:r>
              <w:rPr>
                <w:rFonts w:hint="eastAsia" w:ascii="Times New Roman" w:hAnsi="Times New Roman" w:eastAsia="宋体"/>
                <w:szCs w:val="21"/>
                <w:lang w:val="en-US" w:eastAsia="zh-CN"/>
              </w:rPr>
              <w:t>自来水</w:t>
            </w:r>
            <w:r>
              <w:rPr>
                <w:rFonts w:hint="eastAsia" w:ascii="宋体" w:hAnsi="宋体" w:eastAsia="宋体" w:cs="宋体"/>
                <w:i w:val="0"/>
                <w:iCs w:val="0"/>
                <w:color w:val="000000"/>
                <w:kern w:val="0"/>
                <w:sz w:val="22"/>
                <w:szCs w:val="22"/>
                <w:u w:val="none"/>
                <w:lang w:val="en-US" w:eastAsia="zh-CN" w:bidi="ar"/>
              </w:rPr>
              <w:t>上游排放因子</w:t>
            </w:r>
          </w:p>
        </w:tc>
        <w:tc>
          <w:tcPr>
            <w:tcW w:w="2087" w:type="dxa"/>
            <w:vMerge w:val="continue"/>
            <w:vAlign w:val="center"/>
          </w:tcPr>
          <w:p w14:paraId="0EFDF69A">
            <w:pPr>
              <w:spacing w:line="276" w:lineRule="auto"/>
              <w:rPr>
                <w:rFonts w:ascii="Times New Roman" w:hAnsi="Times New Roman" w:eastAsia="宋体"/>
                <w:szCs w:val="21"/>
              </w:rPr>
            </w:pPr>
          </w:p>
        </w:tc>
      </w:tr>
      <w:tr w14:paraId="1603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14:paraId="5230EB39">
            <w:pPr>
              <w:spacing w:line="276" w:lineRule="auto"/>
              <w:jc w:val="center"/>
              <w:rPr>
                <w:rFonts w:ascii="Times New Roman" w:hAnsi="Times New Roman" w:eastAsia="宋体"/>
                <w:szCs w:val="21"/>
              </w:rPr>
            </w:pPr>
          </w:p>
        </w:tc>
        <w:tc>
          <w:tcPr>
            <w:tcW w:w="1913" w:type="dxa"/>
            <w:gridSpan w:val="2"/>
            <w:vMerge w:val="continue"/>
            <w:vAlign w:val="center"/>
          </w:tcPr>
          <w:p w14:paraId="30FB90E3">
            <w:pPr>
              <w:spacing w:line="276" w:lineRule="auto"/>
              <w:jc w:val="center"/>
              <w:rPr>
                <w:rFonts w:ascii="Times New Roman" w:hAnsi="Times New Roman" w:eastAsia="宋体"/>
                <w:szCs w:val="21"/>
              </w:rPr>
            </w:pPr>
          </w:p>
        </w:tc>
        <w:tc>
          <w:tcPr>
            <w:tcW w:w="2977" w:type="dxa"/>
            <w:vAlign w:val="center"/>
          </w:tcPr>
          <w:p w14:paraId="6A067914">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固废处理排放因子</w:t>
            </w:r>
          </w:p>
        </w:tc>
        <w:tc>
          <w:tcPr>
            <w:tcW w:w="2087" w:type="dxa"/>
            <w:vMerge w:val="continue"/>
            <w:vAlign w:val="center"/>
          </w:tcPr>
          <w:p w14:paraId="26F0B740">
            <w:pPr>
              <w:spacing w:line="276" w:lineRule="auto"/>
              <w:rPr>
                <w:rFonts w:ascii="Times New Roman" w:hAnsi="Times New Roman" w:eastAsia="宋体"/>
                <w:szCs w:val="21"/>
              </w:rPr>
            </w:pPr>
          </w:p>
        </w:tc>
      </w:tr>
      <w:tr w14:paraId="2C51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14:paraId="60920C3C">
            <w:pPr>
              <w:spacing w:line="276" w:lineRule="auto"/>
              <w:jc w:val="center"/>
              <w:rPr>
                <w:rFonts w:ascii="Times New Roman" w:hAnsi="Times New Roman" w:eastAsia="宋体"/>
                <w:szCs w:val="21"/>
              </w:rPr>
            </w:pPr>
          </w:p>
        </w:tc>
        <w:tc>
          <w:tcPr>
            <w:tcW w:w="1913" w:type="dxa"/>
            <w:gridSpan w:val="2"/>
            <w:vMerge w:val="continue"/>
            <w:vAlign w:val="center"/>
          </w:tcPr>
          <w:p w14:paraId="7E9F6A5B">
            <w:pPr>
              <w:spacing w:line="276" w:lineRule="auto"/>
              <w:jc w:val="center"/>
              <w:rPr>
                <w:rFonts w:ascii="Times New Roman" w:hAnsi="Times New Roman" w:eastAsia="宋体"/>
                <w:szCs w:val="21"/>
              </w:rPr>
            </w:pPr>
          </w:p>
        </w:tc>
        <w:tc>
          <w:tcPr>
            <w:tcW w:w="2977" w:type="dxa"/>
            <w:vAlign w:val="center"/>
          </w:tcPr>
          <w:p w14:paraId="74C543EB">
            <w:pPr>
              <w:spacing w:line="276" w:lineRule="auto"/>
              <w:rPr>
                <w:rFonts w:hint="eastAsia" w:ascii="Times New Roman" w:hAnsi="Times New Roman" w:eastAsia="宋体"/>
                <w:szCs w:val="21"/>
              </w:rPr>
            </w:pPr>
            <w:r>
              <w:rPr>
                <w:rFonts w:hint="eastAsia" w:ascii="Times New Roman" w:hAnsi="Times New Roman" w:eastAsia="宋体"/>
                <w:szCs w:val="21"/>
                <w:lang w:val="en-US" w:eastAsia="zh-CN"/>
              </w:rPr>
              <w:t>废水处理排放因子</w:t>
            </w:r>
          </w:p>
        </w:tc>
        <w:tc>
          <w:tcPr>
            <w:tcW w:w="2087" w:type="dxa"/>
            <w:vMerge w:val="continue"/>
            <w:vAlign w:val="center"/>
          </w:tcPr>
          <w:p w14:paraId="0E90AA30">
            <w:pPr>
              <w:spacing w:line="276" w:lineRule="auto"/>
              <w:rPr>
                <w:rFonts w:ascii="Times New Roman" w:hAnsi="Times New Roman" w:eastAsia="宋体"/>
                <w:szCs w:val="21"/>
              </w:rPr>
            </w:pPr>
          </w:p>
        </w:tc>
      </w:tr>
      <w:tr w14:paraId="309F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14:paraId="08B4FEA1">
            <w:pPr>
              <w:spacing w:line="276" w:lineRule="auto"/>
              <w:jc w:val="center"/>
              <w:rPr>
                <w:rFonts w:ascii="Times New Roman" w:hAnsi="Times New Roman" w:eastAsia="宋体"/>
                <w:szCs w:val="21"/>
              </w:rPr>
            </w:pPr>
          </w:p>
        </w:tc>
        <w:tc>
          <w:tcPr>
            <w:tcW w:w="1913" w:type="dxa"/>
            <w:gridSpan w:val="2"/>
            <w:vMerge w:val="continue"/>
            <w:vAlign w:val="center"/>
          </w:tcPr>
          <w:p w14:paraId="02786FDF">
            <w:pPr>
              <w:spacing w:line="276" w:lineRule="auto"/>
              <w:jc w:val="center"/>
              <w:rPr>
                <w:rFonts w:ascii="Times New Roman" w:hAnsi="Times New Roman" w:eastAsia="宋体"/>
                <w:szCs w:val="21"/>
              </w:rPr>
            </w:pPr>
          </w:p>
        </w:tc>
        <w:tc>
          <w:tcPr>
            <w:tcW w:w="2977" w:type="dxa"/>
            <w:vAlign w:val="center"/>
          </w:tcPr>
          <w:p w14:paraId="2FB8ABA1">
            <w:pPr>
              <w:spacing w:line="276" w:lineRule="auto"/>
              <w:rPr>
                <w:rFonts w:hint="eastAsia" w:ascii="Times New Roman" w:hAnsi="Times New Roman" w:eastAsia="宋体"/>
                <w:szCs w:val="21"/>
                <w:lang w:val="en-US" w:eastAsia="zh-CN"/>
              </w:rPr>
            </w:pPr>
            <w:r>
              <w:rPr>
                <w:rFonts w:hint="eastAsia" w:ascii="Times New Roman" w:hAnsi="Times New Roman" w:eastAsia="宋体"/>
                <w:szCs w:val="21"/>
              </w:rPr>
              <w:t>外购电</w:t>
            </w:r>
            <w:r>
              <w:rPr>
                <w:rFonts w:hint="eastAsia" w:ascii="Times New Roman" w:hAnsi="Times New Roman" w:eastAsia="宋体"/>
                <w:szCs w:val="21"/>
                <w:lang w:val="en-US" w:eastAsia="zh-CN"/>
              </w:rPr>
              <w:t>因子</w:t>
            </w:r>
          </w:p>
        </w:tc>
        <w:tc>
          <w:tcPr>
            <w:tcW w:w="2087" w:type="dxa"/>
            <w:vMerge w:val="continue"/>
            <w:vAlign w:val="center"/>
          </w:tcPr>
          <w:p w14:paraId="2B7F9165">
            <w:pPr>
              <w:spacing w:line="276" w:lineRule="auto"/>
              <w:rPr>
                <w:rFonts w:ascii="Times New Roman" w:hAnsi="Times New Roman" w:eastAsia="宋体"/>
                <w:szCs w:val="21"/>
              </w:rPr>
            </w:pPr>
          </w:p>
        </w:tc>
      </w:tr>
      <w:tr w14:paraId="506B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14:paraId="54B8EF52">
            <w:pPr>
              <w:spacing w:line="276" w:lineRule="auto"/>
              <w:jc w:val="center"/>
              <w:rPr>
                <w:rFonts w:ascii="Times New Roman" w:hAnsi="Times New Roman" w:eastAsia="宋体"/>
                <w:szCs w:val="21"/>
              </w:rPr>
            </w:pPr>
          </w:p>
        </w:tc>
        <w:tc>
          <w:tcPr>
            <w:tcW w:w="1913" w:type="dxa"/>
            <w:gridSpan w:val="2"/>
            <w:vMerge w:val="continue"/>
            <w:vAlign w:val="center"/>
          </w:tcPr>
          <w:p w14:paraId="2E9F695D">
            <w:pPr>
              <w:spacing w:line="276" w:lineRule="auto"/>
              <w:jc w:val="center"/>
              <w:rPr>
                <w:rFonts w:ascii="Times New Roman" w:hAnsi="Times New Roman" w:eastAsia="宋体"/>
                <w:szCs w:val="21"/>
              </w:rPr>
            </w:pPr>
          </w:p>
        </w:tc>
        <w:tc>
          <w:tcPr>
            <w:tcW w:w="2977" w:type="dxa"/>
            <w:vAlign w:val="center"/>
          </w:tcPr>
          <w:p w14:paraId="3499D440">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天然气排放因子</w:t>
            </w:r>
          </w:p>
        </w:tc>
        <w:tc>
          <w:tcPr>
            <w:tcW w:w="2087" w:type="dxa"/>
            <w:vAlign w:val="center"/>
          </w:tcPr>
          <w:p w14:paraId="0C706F53">
            <w:pPr>
              <w:spacing w:line="276" w:lineRule="auto"/>
              <w:rPr>
                <w:rFonts w:hint="default" w:ascii="Times New Roman" w:hAnsi="Times New Roman" w:eastAsia="宋体"/>
                <w:szCs w:val="21"/>
                <w:lang w:val="en-US"/>
              </w:rPr>
            </w:pPr>
            <w:r>
              <w:rPr>
                <w:rFonts w:hint="default" w:ascii="Times New Roman" w:hAnsi="Times New Roman" w:eastAsia="宋体"/>
                <w:szCs w:val="21"/>
                <w:lang w:val="en-US"/>
              </w:rPr>
              <w:t>CLCD</w:t>
            </w:r>
          </w:p>
        </w:tc>
      </w:tr>
      <w:tr w14:paraId="5ABA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14:paraId="161ABF26">
            <w:pPr>
              <w:spacing w:line="276" w:lineRule="auto"/>
              <w:jc w:val="center"/>
              <w:rPr>
                <w:rFonts w:ascii="Times New Roman" w:hAnsi="Times New Roman" w:eastAsia="宋体"/>
                <w:szCs w:val="21"/>
              </w:rPr>
            </w:pPr>
          </w:p>
        </w:tc>
        <w:tc>
          <w:tcPr>
            <w:tcW w:w="1913" w:type="dxa"/>
            <w:gridSpan w:val="2"/>
            <w:vAlign w:val="center"/>
          </w:tcPr>
          <w:p w14:paraId="1B23CE94">
            <w:pPr>
              <w:spacing w:line="276" w:lineRule="auto"/>
              <w:jc w:val="center"/>
              <w:rPr>
                <w:rFonts w:ascii="Times New Roman" w:hAnsi="Times New Roman" w:eastAsia="宋体"/>
                <w:szCs w:val="21"/>
              </w:rPr>
            </w:pPr>
            <w:r>
              <w:rPr>
                <w:rFonts w:hint="eastAsia" w:ascii="Times New Roman" w:hAnsi="Times New Roman" w:eastAsia="宋体"/>
                <w:szCs w:val="21"/>
              </w:rPr>
              <w:t>T</w:t>
            </w:r>
            <w:r>
              <w:rPr>
                <w:rFonts w:ascii="Times New Roman" w:hAnsi="Times New Roman" w:eastAsia="宋体"/>
                <w:szCs w:val="21"/>
              </w:rPr>
              <w:t>ransport</w:t>
            </w:r>
          </w:p>
        </w:tc>
        <w:tc>
          <w:tcPr>
            <w:tcW w:w="2977" w:type="dxa"/>
            <w:vAlign w:val="center"/>
          </w:tcPr>
          <w:p w14:paraId="47B8B8F7">
            <w:pPr>
              <w:spacing w:line="276" w:lineRule="auto"/>
              <w:rPr>
                <w:rFonts w:ascii="Times New Roman" w:hAnsi="Times New Roman" w:eastAsia="宋体"/>
                <w:szCs w:val="21"/>
              </w:rPr>
            </w:pPr>
            <w:r>
              <w:rPr>
                <w:rFonts w:hint="eastAsia" w:ascii="Times New Roman" w:hAnsi="Times New Roman" w:eastAsia="宋体"/>
                <w:szCs w:val="21"/>
              </w:rPr>
              <w:t>各类</w:t>
            </w:r>
            <w:r>
              <w:rPr>
                <w:rFonts w:ascii="Times New Roman" w:hAnsi="Times New Roman" w:eastAsia="宋体"/>
                <w:szCs w:val="21"/>
              </w:rPr>
              <w:t>运输</w:t>
            </w:r>
            <w:r>
              <w:rPr>
                <w:rFonts w:hint="eastAsia" w:ascii="Times New Roman" w:hAnsi="Times New Roman" w:eastAsia="宋体"/>
                <w:szCs w:val="21"/>
              </w:rPr>
              <w:t>距离</w:t>
            </w:r>
          </w:p>
        </w:tc>
        <w:tc>
          <w:tcPr>
            <w:tcW w:w="2087" w:type="dxa"/>
            <w:vAlign w:val="center"/>
          </w:tcPr>
          <w:p w14:paraId="149CB439">
            <w:pPr>
              <w:spacing w:line="276" w:lineRule="auto"/>
              <w:rPr>
                <w:rFonts w:hint="default" w:ascii="Times New Roman" w:hAnsi="Times New Roman" w:eastAsia="宋体"/>
                <w:szCs w:val="21"/>
                <w:lang w:val="en-US" w:eastAsia="zh-CN"/>
              </w:rPr>
            </w:pPr>
            <w:r>
              <w:rPr>
                <w:rFonts w:hint="eastAsia" w:ascii="Times New Roman" w:hAnsi="Times New Roman" w:eastAsia="宋体"/>
                <w:szCs w:val="21"/>
                <w:lang w:val="en-US" w:eastAsia="zh-CN"/>
              </w:rPr>
              <w:t>原辅料采购合同、导航软件查询</w:t>
            </w:r>
          </w:p>
        </w:tc>
      </w:tr>
    </w:tbl>
    <w:p w14:paraId="56586C76">
      <w:pPr>
        <w:pStyle w:val="3"/>
        <w:keepNext w:val="0"/>
        <w:keepLines w:val="0"/>
        <w:numPr>
          <w:ilvl w:val="0"/>
          <w:numId w:val="6"/>
        </w:numPr>
        <w:spacing w:before="80" w:line="360" w:lineRule="auto"/>
        <w:rPr>
          <w:rFonts w:ascii="Times New Roman" w:hAnsi="Times New Roman" w:eastAsia="宋体"/>
          <w:b/>
          <w:bCs/>
          <w:color w:val="auto"/>
          <w:sz w:val="28"/>
          <w:szCs w:val="28"/>
        </w:rPr>
      </w:pPr>
      <w:bookmarkStart w:id="16" w:name="_Toc8189"/>
      <w:r>
        <w:rPr>
          <w:rFonts w:hint="eastAsia" w:ascii="Times New Roman" w:hAnsi="Times New Roman" w:eastAsia="宋体"/>
          <w:b/>
          <w:bCs/>
          <w:color w:val="auto"/>
          <w:sz w:val="28"/>
          <w:szCs w:val="28"/>
        </w:rPr>
        <w:t>分配原则与程序</w:t>
      </w:r>
      <w:bookmarkEnd w:id="16"/>
    </w:p>
    <w:p w14:paraId="25671C1E">
      <w:pPr>
        <w:spacing w:line="360" w:lineRule="auto"/>
        <w:ind w:firstLine="480" w:firstLineChars="200"/>
        <w:rPr>
          <w:rFonts w:ascii="Times New Roman" w:hAnsi="Times New Roman" w:eastAsia="宋体"/>
          <w:i/>
          <w:iCs/>
          <w:color w:val="0000FF"/>
          <w:sz w:val="24"/>
          <w:szCs w:val="24"/>
        </w:rPr>
      </w:pPr>
      <w:r>
        <w:rPr>
          <w:rFonts w:hint="eastAsia" w:ascii="Times New Roman" w:hAnsi="Times New Roman" w:eastAsia="宋体"/>
          <w:sz w:val="24"/>
          <w:szCs w:val="24"/>
        </w:rPr>
        <w:t>分配依据：</w:t>
      </w:r>
      <w:r>
        <w:rPr>
          <w:rFonts w:hint="eastAsia" w:ascii="Times New Roman" w:hAnsi="Times New Roman" w:eastAsia="宋体"/>
          <w:sz w:val="24"/>
          <w:szCs w:val="24"/>
          <w:lang w:val="en-US" w:eastAsia="zh-CN"/>
        </w:rPr>
        <w:t>按产品产量进行物理分配。</w:t>
      </w:r>
    </w:p>
    <w:p w14:paraId="7FAE681C">
      <w:pPr>
        <w:spacing w:line="360" w:lineRule="auto"/>
        <w:ind w:firstLine="480" w:firstLineChars="200"/>
        <w:rPr>
          <w:rFonts w:ascii="Times New Roman" w:hAnsi="Times New Roman" w:eastAsia="宋体"/>
          <w:i w:val="0"/>
          <w:iCs w:val="0"/>
          <w:color w:val="auto"/>
          <w:sz w:val="24"/>
          <w:szCs w:val="24"/>
        </w:rPr>
      </w:pPr>
      <w:r>
        <w:rPr>
          <w:rFonts w:hint="eastAsia" w:ascii="Times New Roman" w:hAnsi="Times New Roman" w:eastAsia="宋体"/>
          <w:sz w:val="24"/>
          <w:szCs w:val="24"/>
        </w:rPr>
        <w:t>分配程序：</w:t>
      </w:r>
      <w:r>
        <w:rPr>
          <w:rFonts w:hint="eastAsia" w:ascii="Times New Roman" w:hAnsi="Times New Roman" w:eastAsia="宋体"/>
          <w:i w:val="0"/>
          <w:iCs w:val="0"/>
          <w:color w:val="auto"/>
          <w:sz w:val="24"/>
          <w:szCs w:val="24"/>
        </w:rPr>
        <w:t>本报告专门针对报告产品专有生产线进行活动数据的收集统计，因此无需分配。</w:t>
      </w:r>
    </w:p>
    <w:p w14:paraId="7D1A13CB">
      <w:pPr>
        <w:spacing w:line="360" w:lineRule="auto"/>
        <w:ind w:firstLine="480" w:firstLineChars="200"/>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具体分配情况如下：无。</w:t>
      </w:r>
    </w:p>
    <w:p w14:paraId="0430CDD7">
      <w:pPr>
        <w:pStyle w:val="3"/>
        <w:keepNext w:val="0"/>
        <w:keepLines w:val="0"/>
        <w:numPr>
          <w:ilvl w:val="0"/>
          <w:numId w:val="6"/>
        </w:numPr>
        <w:spacing w:before="80" w:line="360" w:lineRule="auto"/>
        <w:rPr>
          <w:rFonts w:ascii="Times New Roman" w:hAnsi="Times New Roman" w:eastAsia="宋体"/>
          <w:b/>
          <w:bCs/>
          <w:color w:val="auto"/>
          <w:sz w:val="28"/>
          <w:szCs w:val="28"/>
        </w:rPr>
      </w:pPr>
      <w:bookmarkStart w:id="17" w:name="_Toc11787"/>
      <w:r>
        <w:rPr>
          <w:rFonts w:hint="eastAsia" w:ascii="Times New Roman" w:hAnsi="Times New Roman" w:eastAsia="宋体"/>
          <w:b/>
          <w:bCs/>
          <w:color w:val="auto"/>
          <w:sz w:val="28"/>
          <w:szCs w:val="28"/>
        </w:rPr>
        <w:t>清单结果及计算</w:t>
      </w:r>
      <w:bookmarkEnd w:id="17"/>
    </w:p>
    <w:p w14:paraId="5F55590A">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每功能单位生命周期各个阶段碳排放计算说明见表4-2。</w:t>
      </w:r>
    </w:p>
    <w:p w14:paraId="05AA3DF6">
      <w:pPr>
        <w:spacing w:line="360" w:lineRule="auto"/>
        <w:jc w:val="center"/>
        <w:rPr>
          <w:rFonts w:ascii="Times New Roman" w:hAnsi="Times New Roman" w:eastAsia="宋体"/>
        </w:rPr>
        <w:sectPr>
          <w:footerReference r:id="rId5" w:type="default"/>
          <w:pgSz w:w="11906" w:h="16838"/>
          <w:pgMar w:top="1440" w:right="1800" w:bottom="1440" w:left="1800" w:header="851" w:footer="992" w:gutter="0"/>
          <w:pgNumType w:start="1"/>
          <w:cols w:space="425" w:num="1"/>
          <w:docGrid w:type="lines" w:linePitch="312" w:charSpace="0"/>
        </w:sectPr>
      </w:pPr>
    </w:p>
    <w:p w14:paraId="78F549F9">
      <w:pPr>
        <w:pStyle w:val="12"/>
        <w:spacing w:line="360" w:lineRule="auto"/>
        <w:jc w:val="center"/>
        <w:rPr>
          <w:rFonts w:ascii="Times New Roman" w:hAnsi="Times New Roman" w:eastAsia="宋体" w:cs="宋体"/>
          <w:i w:val="0"/>
          <w:iCs w:val="0"/>
          <w:color w:val="auto"/>
          <w:sz w:val="21"/>
        </w:rPr>
      </w:pPr>
      <w:r>
        <w:rPr>
          <w:rFonts w:hint="eastAsia" w:ascii="Times New Roman" w:hAnsi="Times New Roman" w:eastAsia="宋体" w:cs="宋体"/>
          <w:i w:val="0"/>
          <w:iCs w:val="0"/>
          <w:color w:val="auto"/>
          <w:sz w:val="21"/>
        </w:rPr>
        <w:t>表4-2 生命周期碳排放清单说明</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6"/>
        <w:gridCol w:w="2784"/>
        <w:gridCol w:w="2218"/>
        <w:gridCol w:w="2218"/>
        <w:gridCol w:w="2218"/>
        <w:gridCol w:w="2740"/>
      </w:tblGrid>
      <w:tr w14:paraId="1611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4" w:type="pct"/>
            <w:vAlign w:val="center"/>
          </w:tcPr>
          <w:p w14:paraId="17A5F9BE">
            <w:pPr>
              <w:spacing w:line="276" w:lineRule="auto"/>
              <w:jc w:val="center"/>
              <w:rPr>
                <w:rFonts w:ascii="Times New Roman" w:hAnsi="Times New Roman" w:eastAsia="宋体"/>
                <w:b/>
                <w:bCs/>
              </w:rPr>
            </w:pPr>
            <w:r>
              <w:rPr>
                <w:rFonts w:hint="eastAsia" w:ascii="Times New Roman" w:hAnsi="Times New Roman" w:eastAsia="宋体"/>
                <w:b/>
                <w:bCs/>
              </w:rPr>
              <w:t>生命周期阶段</w:t>
            </w:r>
          </w:p>
        </w:tc>
        <w:tc>
          <w:tcPr>
            <w:tcW w:w="982" w:type="pct"/>
            <w:vAlign w:val="center"/>
          </w:tcPr>
          <w:p w14:paraId="0603F43D">
            <w:pPr>
              <w:spacing w:line="276" w:lineRule="auto"/>
              <w:jc w:val="center"/>
              <w:rPr>
                <w:rFonts w:ascii="Times New Roman" w:hAnsi="Times New Roman" w:eastAsia="宋体"/>
                <w:b/>
                <w:bCs/>
              </w:rPr>
            </w:pPr>
            <w:r>
              <w:rPr>
                <w:rFonts w:hint="eastAsia" w:ascii="Times New Roman" w:hAnsi="Times New Roman" w:eastAsia="宋体"/>
                <w:b/>
                <w:bCs/>
              </w:rPr>
              <w:t>项目</w:t>
            </w:r>
          </w:p>
        </w:tc>
        <w:tc>
          <w:tcPr>
            <w:tcW w:w="782" w:type="pct"/>
            <w:vAlign w:val="center"/>
          </w:tcPr>
          <w:p w14:paraId="78CAC5C3">
            <w:pPr>
              <w:spacing w:line="276" w:lineRule="auto"/>
              <w:jc w:val="center"/>
              <w:rPr>
                <w:rFonts w:ascii="Times New Roman" w:hAnsi="Times New Roman" w:eastAsia="宋体"/>
                <w:b/>
                <w:bCs/>
              </w:rPr>
            </w:pPr>
            <w:r>
              <w:rPr>
                <w:rFonts w:hint="eastAsia" w:ascii="Times New Roman" w:hAnsi="Times New Roman" w:eastAsia="宋体"/>
                <w:b/>
                <w:bCs/>
              </w:rPr>
              <w:t>活动数据</w:t>
            </w:r>
          </w:p>
        </w:tc>
        <w:tc>
          <w:tcPr>
            <w:tcW w:w="782" w:type="pct"/>
            <w:vAlign w:val="center"/>
          </w:tcPr>
          <w:p w14:paraId="18E257C7">
            <w:pPr>
              <w:spacing w:line="276" w:lineRule="auto"/>
              <w:jc w:val="center"/>
              <w:rPr>
                <w:rFonts w:ascii="Times New Roman" w:hAnsi="Times New Roman" w:eastAsia="宋体"/>
                <w:b/>
                <w:bCs/>
              </w:rPr>
            </w:pPr>
            <w:r>
              <w:rPr>
                <w:rFonts w:hint="eastAsia" w:ascii="Times New Roman" w:hAnsi="Times New Roman" w:eastAsia="宋体"/>
                <w:b/>
                <w:bCs/>
              </w:rPr>
              <w:t>计量单位</w:t>
            </w:r>
          </w:p>
        </w:tc>
        <w:tc>
          <w:tcPr>
            <w:tcW w:w="782" w:type="pct"/>
            <w:vAlign w:val="center"/>
          </w:tcPr>
          <w:p w14:paraId="03A00FEF">
            <w:pPr>
              <w:spacing w:line="276" w:lineRule="auto"/>
              <w:jc w:val="center"/>
              <w:rPr>
                <w:rFonts w:ascii="Times New Roman" w:hAnsi="Times New Roman" w:eastAsia="宋体"/>
                <w:b/>
                <w:bCs/>
              </w:rPr>
            </w:pPr>
            <w:r>
              <w:rPr>
                <w:rFonts w:hint="eastAsia" w:ascii="Times New Roman" w:hAnsi="Times New Roman" w:eastAsia="宋体"/>
                <w:b/>
                <w:bCs/>
              </w:rPr>
              <w:t>排放因子</w:t>
            </w:r>
          </w:p>
        </w:tc>
        <w:tc>
          <w:tcPr>
            <w:tcW w:w="966" w:type="pct"/>
            <w:vAlign w:val="center"/>
          </w:tcPr>
          <w:p w14:paraId="5926AE2F">
            <w:pPr>
              <w:spacing w:line="276" w:lineRule="auto"/>
              <w:jc w:val="center"/>
              <w:rPr>
                <w:rFonts w:ascii="Times New Roman" w:hAnsi="Times New Roman" w:eastAsia="宋体"/>
                <w:b/>
                <w:bCs/>
              </w:rPr>
            </w:pPr>
            <w:r>
              <w:rPr>
                <w:rFonts w:hint="eastAsia" w:ascii="Times New Roman" w:hAnsi="Times New Roman" w:eastAsia="宋体"/>
                <w:b/>
                <w:bCs/>
              </w:rPr>
              <w:t>碳足迹</w:t>
            </w:r>
          </w:p>
          <w:p w14:paraId="12B75905">
            <w:pPr>
              <w:spacing w:line="276" w:lineRule="auto"/>
              <w:jc w:val="center"/>
              <w:rPr>
                <w:rFonts w:ascii="Times New Roman" w:hAnsi="Times New Roman" w:eastAsia="宋体"/>
                <w:b/>
                <w:bCs/>
              </w:rPr>
            </w:pPr>
            <w:r>
              <w:rPr>
                <w:rFonts w:hint="eastAsia" w:ascii="Times New Roman" w:hAnsi="Times New Roman" w:eastAsia="宋体"/>
                <w:b/>
                <w:bCs/>
              </w:rPr>
              <w:t>kgCO</w:t>
            </w:r>
            <w:r>
              <w:rPr>
                <w:rFonts w:hint="eastAsia" w:ascii="Times New Roman" w:hAnsi="Times New Roman" w:eastAsia="宋体"/>
                <w:b/>
                <w:bCs/>
                <w:vertAlign w:val="subscript"/>
              </w:rPr>
              <w:t>2</w:t>
            </w:r>
            <w:r>
              <w:rPr>
                <w:rFonts w:hint="eastAsia" w:ascii="Times New Roman" w:hAnsi="Times New Roman" w:eastAsia="宋体"/>
                <w:b/>
                <w:bCs/>
              </w:rPr>
              <w:t>e/声明单位</w:t>
            </w:r>
          </w:p>
        </w:tc>
      </w:tr>
      <w:tr w14:paraId="22DC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restart"/>
            <w:vAlign w:val="center"/>
          </w:tcPr>
          <w:p w14:paraId="631AADBA">
            <w:pPr>
              <w:spacing w:line="276" w:lineRule="auto"/>
              <w:jc w:val="center"/>
              <w:rPr>
                <w:rFonts w:ascii="Times New Roman" w:hAnsi="Times New Roman" w:eastAsia="宋体"/>
              </w:rPr>
            </w:pPr>
            <w:r>
              <w:rPr>
                <w:rFonts w:hint="eastAsia" w:ascii="Times New Roman" w:hAnsi="Times New Roman" w:eastAsia="宋体"/>
              </w:rPr>
              <w:t>原材料获取</w:t>
            </w:r>
          </w:p>
        </w:tc>
        <w:tc>
          <w:tcPr>
            <w:tcW w:w="982" w:type="pct"/>
            <w:vAlign w:val="center"/>
          </w:tcPr>
          <w:p w14:paraId="6292D2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树脂</w:t>
            </w:r>
          </w:p>
        </w:tc>
        <w:tc>
          <w:tcPr>
            <w:tcW w:w="782" w:type="pct"/>
            <w:vAlign w:val="center"/>
          </w:tcPr>
          <w:p w14:paraId="1A394A1C">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200.2</w:t>
            </w:r>
          </w:p>
        </w:tc>
        <w:tc>
          <w:tcPr>
            <w:tcW w:w="782" w:type="pct"/>
            <w:vAlign w:val="center"/>
          </w:tcPr>
          <w:p w14:paraId="582EE183">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c>
          <w:tcPr>
            <w:tcW w:w="782" w:type="pct"/>
            <w:vAlign w:val="center"/>
          </w:tcPr>
          <w:p w14:paraId="643A34B4">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4.5111</w:t>
            </w:r>
          </w:p>
        </w:tc>
        <w:tc>
          <w:tcPr>
            <w:tcW w:w="2740" w:type="dxa"/>
            <w:vAlign w:val="bottom"/>
          </w:tcPr>
          <w:p w14:paraId="67BEA87D">
            <w:pPr>
              <w:keepNext w:val="0"/>
              <w:keepLines w:val="0"/>
              <w:widowControl/>
              <w:suppressLineNumbers w:val="0"/>
              <w:jc w:val="center"/>
              <w:textAlignment w:val="bottom"/>
              <w:rPr>
                <w:rFonts w:hint="eastAsia"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903.1222</w:t>
            </w:r>
          </w:p>
        </w:tc>
      </w:tr>
      <w:tr w14:paraId="2DDD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74C714C3">
            <w:pPr>
              <w:spacing w:line="276" w:lineRule="auto"/>
              <w:jc w:val="center"/>
              <w:rPr>
                <w:rFonts w:ascii="Times New Roman" w:hAnsi="Times New Roman" w:eastAsia="宋体"/>
              </w:rPr>
            </w:pPr>
          </w:p>
        </w:tc>
        <w:tc>
          <w:tcPr>
            <w:tcW w:w="982" w:type="pct"/>
            <w:vAlign w:val="center"/>
          </w:tcPr>
          <w:p w14:paraId="5238F4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石粉</w:t>
            </w:r>
          </w:p>
        </w:tc>
        <w:tc>
          <w:tcPr>
            <w:tcW w:w="782" w:type="pct"/>
            <w:vAlign w:val="center"/>
          </w:tcPr>
          <w:p w14:paraId="6E04D9FF">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800.3</w:t>
            </w:r>
          </w:p>
        </w:tc>
        <w:tc>
          <w:tcPr>
            <w:tcW w:w="782" w:type="pct"/>
            <w:vAlign w:val="center"/>
          </w:tcPr>
          <w:p w14:paraId="4B2C0FE3">
            <w:pPr>
              <w:spacing w:line="276" w:lineRule="auto"/>
              <w:jc w:val="center"/>
              <w:rPr>
                <w:rFonts w:hint="eastAsia"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c>
          <w:tcPr>
            <w:tcW w:w="782" w:type="pct"/>
            <w:vAlign w:val="center"/>
          </w:tcPr>
          <w:p w14:paraId="746A41DE">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0.0653</w:t>
            </w:r>
          </w:p>
        </w:tc>
        <w:tc>
          <w:tcPr>
            <w:tcW w:w="2740" w:type="dxa"/>
            <w:vAlign w:val="bottom"/>
          </w:tcPr>
          <w:p w14:paraId="2B6DC9A7">
            <w:pPr>
              <w:keepNext w:val="0"/>
              <w:keepLines w:val="0"/>
              <w:widowControl/>
              <w:suppressLineNumbers w:val="0"/>
              <w:jc w:val="center"/>
              <w:textAlignment w:val="bottom"/>
              <w:rPr>
                <w:rFonts w:hint="eastAsia"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52.2596</w:t>
            </w:r>
          </w:p>
        </w:tc>
      </w:tr>
      <w:tr w14:paraId="42DE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3BABB50B">
            <w:pPr>
              <w:spacing w:line="276" w:lineRule="auto"/>
              <w:jc w:val="center"/>
              <w:rPr>
                <w:rFonts w:ascii="Times New Roman" w:hAnsi="Times New Roman" w:eastAsia="宋体"/>
              </w:rPr>
            </w:pPr>
          </w:p>
        </w:tc>
        <w:tc>
          <w:tcPr>
            <w:tcW w:w="982" w:type="pct"/>
            <w:vAlign w:val="center"/>
          </w:tcPr>
          <w:p w14:paraId="0B07536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塑料</w:t>
            </w:r>
          </w:p>
        </w:tc>
        <w:tc>
          <w:tcPr>
            <w:tcW w:w="782" w:type="pct"/>
            <w:vAlign w:val="center"/>
          </w:tcPr>
          <w:p w14:paraId="29316849">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0.75</w:t>
            </w:r>
          </w:p>
        </w:tc>
        <w:tc>
          <w:tcPr>
            <w:tcW w:w="782" w:type="pct"/>
            <w:vAlign w:val="center"/>
          </w:tcPr>
          <w:p w14:paraId="428F021D">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c>
          <w:tcPr>
            <w:tcW w:w="782" w:type="pct"/>
            <w:vAlign w:val="center"/>
          </w:tcPr>
          <w:p w14:paraId="295A0B91">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3.9126</w:t>
            </w:r>
          </w:p>
        </w:tc>
        <w:tc>
          <w:tcPr>
            <w:tcW w:w="2740" w:type="dxa"/>
            <w:vAlign w:val="bottom"/>
          </w:tcPr>
          <w:p w14:paraId="0859DCD5">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2.9345</w:t>
            </w:r>
          </w:p>
        </w:tc>
      </w:tr>
      <w:tr w14:paraId="756D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4294C807">
            <w:pPr>
              <w:spacing w:line="276" w:lineRule="auto"/>
              <w:jc w:val="center"/>
              <w:rPr>
                <w:rFonts w:ascii="Times New Roman" w:hAnsi="Times New Roman" w:eastAsia="宋体"/>
              </w:rPr>
            </w:pPr>
          </w:p>
        </w:tc>
        <w:tc>
          <w:tcPr>
            <w:tcW w:w="982" w:type="pct"/>
            <w:vAlign w:val="center"/>
          </w:tcPr>
          <w:p w14:paraId="3F4E2745">
            <w:pPr>
              <w:keepNext w:val="0"/>
              <w:keepLines w:val="0"/>
              <w:widowControl/>
              <w:suppressLineNumbers w:val="0"/>
              <w:jc w:val="center"/>
              <w:textAlignment w:val="center"/>
              <w:rPr>
                <w:rFonts w:hint="eastAsia" w:ascii="Times New Roman" w:hAnsi="Times New Roman" w:eastAsia="宋体"/>
                <w:szCs w:val="21"/>
              </w:rPr>
            </w:pPr>
            <w:r>
              <w:rPr>
                <w:rFonts w:hint="eastAsia" w:ascii="宋体" w:hAnsi="宋体" w:eastAsia="宋体" w:cs="宋体"/>
                <w:i w:val="0"/>
                <w:iCs w:val="0"/>
                <w:color w:val="000000"/>
                <w:kern w:val="0"/>
                <w:sz w:val="22"/>
                <w:szCs w:val="22"/>
                <w:u w:val="none"/>
                <w:lang w:val="en-US" w:eastAsia="zh-CN" w:bidi="ar"/>
              </w:rPr>
              <w:t>纸箱</w:t>
            </w:r>
          </w:p>
        </w:tc>
        <w:tc>
          <w:tcPr>
            <w:tcW w:w="782" w:type="pct"/>
            <w:vAlign w:val="center"/>
          </w:tcPr>
          <w:p w14:paraId="6CB4C408">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2</w:t>
            </w:r>
          </w:p>
        </w:tc>
        <w:tc>
          <w:tcPr>
            <w:tcW w:w="782" w:type="pct"/>
            <w:vAlign w:val="center"/>
          </w:tcPr>
          <w:p w14:paraId="319C13AA">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c>
          <w:tcPr>
            <w:tcW w:w="782" w:type="pct"/>
            <w:vAlign w:val="center"/>
          </w:tcPr>
          <w:p w14:paraId="0B398560">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1.3441</w:t>
            </w:r>
          </w:p>
        </w:tc>
        <w:tc>
          <w:tcPr>
            <w:tcW w:w="2740" w:type="dxa"/>
            <w:vAlign w:val="bottom"/>
          </w:tcPr>
          <w:p w14:paraId="577A2BC2">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2.6882</w:t>
            </w:r>
          </w:p>
        </w:tc>
      </w:tr>
      <w:tr w14:paraId="329D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1DFDFA6B">
            <w:pPr>
              <w:spacing w:line="276" w:lineRule="auto"/>
              <w:jc w:val="center"/>
              <w:rPr>
                <w:rFonts w:ascii="Times New Roman" w:hAnsi="Times New Roman" w:eastAsia="宋体"/>
              </w:rPr>
            </w:pPr>
          </w:p>
        </w:tc>
        <w:tc>
          <w:tcPr>
            <w:tcW w:w="982" w:type="pct"/>
            <w:vAlign w:val="center"/>
          </w:tcPr>
          <w:p w14:paraId="04F07255">
            <w:pPr>
              <w:keepNext w:val="0"/>
              <w:keepLines w:val="0"/>
              <w:widowControl/>
              <w:suppressLineNumbers w:val="0"/>
              <w:jc w:val="center"/>
              <w:textAlignment w:val="center"/>
              <w:rPr>
                <w:rFonts w:hint="eastAsia" w:ascii="Times New Roman" w:hAnsi="Times New Roman" w:eastAsia="宋体"/>
                <w:i/>
                <w:iCs/>
                <w:color w:val="0000FF"/>
              </w:rPr>
            </w:pPr>
            <w:r>
              <w:rPr>
                <w:rFonts w:hint="eastAsia" w:ascii="宋体" w:hAnsi="宋体" w:eastAsia="宋体" w:cs="宋体"/>
                <w:i w:val="0"/>
                <w:iCs w:val="0"/>
                <w:color w:val="000000"/>
                <w:kern w:val="0"/>
                <w:sz w:val="21"/>
                <w:szCs w:val="21"/>
                <w:u w:val="none"/>
                <w:lang w:val="en-US" w:eastAsia="zh-CN" w:bidi="ar"/>
              </w:rPr>
              <w:t>自来水</w:t>
            </w:r>
          </w:p>
        </w:tc>
        <w:tc>
          <w:tcPr>
            <w:tcW w:w="782" w:type="pct"/>
            <w:vAlign w:val="center"/>
          </w:tcPr>
          <w:p w14:paraId="260D2C58">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2.64</w:t>
            </w:r>
          </w:p>
        </w:tc>
        <w:tc>
          <w:tcPr>
            <w:tcW w:w="782" w:type="pct"/>
            <w:vAlign w:val="center"/>
          </w:tcPr>
          <w:p w14:paraId="5D8E4813">
            <w:pPr>
              <w:spacing w:line="276" w:lineRule="auto"/>
              <w:jc w:val="center"/>
              <w:rPr>
                <w:rFonts w:hint="eastAsia" w:ascii="Times New Roman" w:hAnsi="Times New Roman" w:eastAsia="宋体"/>
                <w:i w:val="0"/>
                <w:iCs w:val="0"/>
                <w:color w:val="auto"/>
                <w:lang w:val="en-US"/>
              </w:rPr>
            </w:pPr>
            <w:r>
              <w:rPr>
                <w:rFonts w:hint="eastAsia" w:ascii="Times New Roman" w:hAnsi="Times New Roman" w:eastAsia="宋体"/>
                <w:i w:val="0"/>
                <w:iCs w:val="0"/>
                <w:color w:val="auto"/>
                <w:lang w:val="en-US" w:eastAsia="zh-CN"/>
              </w:rPr>
              <w:t>m</w:t>
            </w:r>
            <w:r>
              <w:rPr>
                <w:rFonts w:hint="eastAsia" w:ascii="Times New Roman" w:hAnsi="Times New Roman" w:eastAsia="宋体"/>
                <w:i w:val="0"/>
                <w:iCs w:val="0"/>
                <w:color w:val="auto"/>
                <w:vertAlign w:val="superscript"/>
                <w:lang w:val="en-US" w:eastAsia="zh-CN"/>
              </w:rPr>
              <w:t>3</w:t>
            </w:r>
          </w:p>
        </w:tc>
        <w:tc>
          <w:tcPr>
            <w:tcW w:w="782" w:type="pct"/>
            <w:vAlign w:val="center"/>
          </w:tcPr>
          <w:p w14:paraId="43F284E3">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0.0013</w:t>
            </w:r>
          </w:p>
        </w:tc>
        <w:tc>
          <w:tcPr>
            <w:tcW w:w="2740" w:type="dxa"/>
            <w:vAlign w:val="bottom"/>
          </w:tcPr>
          <w:p w14:paraId="1E9717CA">
            <w:pPr>
              <w:keepNext w:val="0"/>
              <w:keepLines w:val="0"/>
              <w:widowControl/>
              <w:suppressLineNumbers w:val="0"/>
              <w:jc w:val="center"/>
              <w:textAlignment w:val="bottom"/>
              <w:rPr>
                <w:rFonts w:hint="eastAsia"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0.0034</w:t>
            </w:r>
          </w:p>
        </w:tc>
      </w:tr>
      <w:tr w14:paraId="1CD2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5DC5D141">
            <w:pPr>
              <w:spacing w:line="276" w:lineRule="auto"/>
              <w:jc w:val="center"/>
              <w:rPr>
                <w:rFonts w:ascii="Times New Roman" w:hAnsi="Times New Roman" w:eastAsia="宋体"/>
              </w:rPr>
            </w:pPr>
          </w:p>
        </w:tc>
        <w:tc>
          <w:tcPr>
            <w:tcW w:w="982" w:type="pct"/>
            <w:vAlign w:val="center"/>
          </w:tcPr>
          <w:p w14:paraId="603A52D7">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1"/>
                <w:szCs w:val="21"/>
                <w:u w:val="none"/>
                <w:lang w:val="en-US" w:eastAsia="zh-CN" w:bidi="ar"/>
              </w:rPr>
              <w:t>原材料运输</w:t>
            </w:r>
          </w:p>
        </w:tc>
        <w:tc>
          <w:tcPr>
            <w:tcW w:w="782" w:type="pct"/>
            <w:vAlign w:val="center"/>
          </w:tcPr>
          <w:p w14:paraId="3888DF2B">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6.23</w:t>
            </w:r>
          </w:p>
        </w:tc>
        <w:tc>
          <w:tcPr>
            <w:tcW w:w="782" w:type="pct"/>
            <w:vAlign w:val="center"/>
          </w:tcPr>
          <w:p w14:paraId="75E63F06">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t.km</w:t>
            </w:r>
          </w:p>
        </w:tc>
        <w:tc>
          <w:tcPr>
            <w:tcW w:w="782" w:type="pct"/>
            <w:vAlign w:val="center"/>
          </w:tcPr>
          <w:p w14:paraId="1D0CB12F">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0.1540</w:t>
            </w:r>
          </w:p>
        </w:tc>
        <w:tc>
          <w:tcPr>
            <w:tcW w:w="2740" w:type="dxa"/>
            <w:vAlign w:val="bottom"/>
          </w:tcPr>
          <w:p w14:paraId="0AF6100D">
            <w:pPr>
              <w:keepNext w:val="0"/>
              <w:keepLines w:val="0"/>
              <w:widowControl/>
              <w:suppressLineNumbers w:val="0"/>
              <w:jc w:val="center"/>
              <w:textAlignment w:val="bottom"/>
              <w:rPr>
                <w:rFonts w:hint="eastAsia"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0.9594</w:t>
            </w:r>
          </w:p>
        </w:tc>
      </w:tr>
      <w:tr w14:paraId="190A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vMerge w:val="restart"/>
            <w:vAlign w:val="center"/>
          </w:tcPr>
          <w:p w14:paraId="0F84D458">
            <w:pPr>
              <w:spacing w:line="276" w:lineRule="auto"/>
              <w:jc w:val="center"/>
              <w:rPr>
                <w:rFonts w:ascii="Times New Roman" w:hAnsi="Times New Roman" w:eastAsia="宋体"/>
              </w:rPr>
            </w:pPr>
            <w:r>
              <w:rPr>
                <w:rFonts w:hint="eastAsia" w:ascii="Times New Roman" w:hAnsi="Times New Roman" w:eastAsia="宋体"/>
              </w:rPr>
              <w:t>生产</w:t>
            </w:r>
          </w:p>
        </w:tc>
        <w:tc>
          <w:tcPr>
            <w:tcW w:w="982" w:type="pct"/>
            <w:vAlign w:val="center"/>
          </w:tcPr>
          <w:p w14:paraId="52737B85">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电力</w:t>
            </w:r>
          </w:p>
        </w:tc>
        <w:tc>
          <w:tcPr>
            <w:tcW w:w="782" w:type="pct"/>
            <w:vAlign w:val="center"/>
          </w:tcPr>
          <w:p w14:paraId="358A6328">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89.76</w:t>
            </w:r>
          </w:p>
        </w:tc>
        <w:tc>
          <w:tcPr>
            <w:tcW w:w="782" w:type="pct"/>
            <w:vAlign w:val="center"/>
          </w:tcPr>
          <w:p w14:paraId="39C2DFBE">
            <w:pPr>
              <w:spacing w:line="276" w:lineRule="auto"/>
              <w:jc w:val="center"/>
              <w:rPr>
                <w:rFonts w:hint="default" w:ascii="Times New Roman" w:hAnsi="Times New Roman" w:eastAsia="宋体"/>
                <w:i w:val="0"/>
                <w:iCs w:val="0"/>
                <w:color w:val="auto"/>
                <w:lang w:val="en-US"/>
              </w:rPr>
            </w:pPr>
            <w:r>
              <w:rPr>
                <w:rFonts w:hint="eastAsia" w:ascii="Times New Roman" w:hAnsi="Times New Roman" w:eastAsia="宋体"/>
                <w:i w:val="0"/>
                <w:iCs w:val="0"/>
                <w:color w:val="auto"/>
                <w:lang w:val="en-US" w:eastAsia="zh-CN"/>
              </w:rPr>
              <w:t>kwh</w:t>
            </w:r>
          </w:p>
        </w:tc>
        <w:tc>
          <w:tcPr>
            <w:tcW w:w="782" w:type="pct"/>
            <w:vAlign w:val="center"/>
          </w:tcPr>
          <w:p w14:paraId="13945EE4">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0.8570</w:t>
            </w:r>
          </w:p>
        </w:tc>
        <w:tc>
          <w:tcPr>
            <w:tcW w:w="2740" w:type="dxa"/>
            <w:vAlign w:val="bottom"/>
          </w:tcPr>
          <w:p w14:paraId="421449DA">
            <w:pPr>
              <w:keepNext w:val="0"/>
              <w:keepLines w:val="0"/>
              <w:widowControl/>
              <w:suppressLineNumbers w:val="0"/>
              <w:jc w:val="center"/>
              <w:textAlignment w:val="bottom"/>
              <w:rPr>
                <w:rFonts w:hint="eastAsia"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76.9243</w:t>
            </w:r>
          </w:p>
        </w:tc>
      </w:tr>
      <w:tr w14:paraId="7179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736DA2E8">
            <w:pPr>
              <w:spacing w:line="276" w:lineRule="auto"/>
              <w:jc w:val="center"/>
              <w:rPr>
                <w:rFonts w:hint="eastAsia" w:ascii="Times New Roman" w:hAnsi="Times New Roman" w:eastAsia="宋体"/>
              </w:rPr>
            </w:pPr>
          </w:p>
        </w:tc>
        <w:tc>
          <w:tcPr>
            <w:tcW w:w="982" w:type="pct"/>
            <w:vAlign w:val="center"/>
          </w:tcPr>
          <w:p w14:paraId="261081B1">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天然气</w:t>
            </w:r>
          </w:p>
        </w:tc>
        <w:tc>
          <w:tcPr>
            <w:tcW w:w="782" w:type="pct"/>
            <w:vAlign w:val="center"/>
          </w:tcPr>
          <w:p w14:paraId="3FB8D3B9">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2.82</w:t>
            </w:r>
          </w:p>
        </w:tc>
        <w:tc>
          <w:tcPr>
            <w:tcW w:w="782" w:type="pct"/>
            <w:vAlign w:val="center"/>
          </w:tcPr>
          <w:p w14:paraId="385E4845">
            <w:pPr>
              <w:spacing w:line="276" w:lineRule="auto"/>
              <w:jc w:val="center"/>
              <w:rPr>
                <w:rFonts w:hint="eastAsia" w:ascii="Times New Roman" w:hAnsi="Times New Roman" w:eastAsia="宋体"/>
                <w:i w:val="0"/>
                <w:iCs w:val="0"/>
                <w:color w:val="auto"/>
                <w:lang w:val="en-US"/>
              </w:rPr>
            </w:pPr>
            <w:r>
              <w:rPr>
                <w:rFonts w:hint="eastAsia" w:ascii="Times New Roman" w:hAnsi="Times New Roman" w:eastAsia="宋体"/>
                <w:i w:val="0"/>
                <w:iCs w:val="0"/>
                <w:color w:val="auto"/>
                <w:lang w:val="en-US" w:eastAsia="zh-CN"/>
              </w:rPr>
              <w:t>m</w:t>
            </w:r>
            <w:r>
              <w:rPr>
                <w:rFonts w:hint="eastAsia" w:ascii="Times New Roman" w:hAnsi="Times New Roman" w:eastAsia="宋体"/>
                <w:i w:val="0"/>
                <w:iCs w:val="0"/>
                <w:color w:val="auto"/>
                <w:vertAlign w:val="superscript"/>
                <w:lang w:val="en-US" w:eastAsia="zh-CN"/>
              </w:rPr>
              <w:t>3</w:t>
            </w:r>
          </w:p>
        </w:tc>
        <w:tc>
          <w:tcPr>
            <w:tcW w:w="782" w:type="pct"/>
            <w:vAlign w:val="center"/>
          </w:tcPr>
          <w:p w14:paraId="13C1316A">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2.8000</w:t>
            </w:r>
          </w:p>
        </w:tc>
        <w:tc>
          <w:tcPr>
            <w:tcW w:w="2740" w:type="dxa"/>
            <w:vAlign w:val="bottom"/>
          </w:tcPr>
          <w:p w14:paraId="0DEC3FC3">
            <w:pPr>
              <w:keepNext w:val="0"/>
              <w:keepLines w:val="0"/>
              <w:widowControl/>
              <w:suppressLineNumbers w:val="0"/>
              <w:jc w:val="center"/>
              <w:textAlignment w:val="bottom"/>
              <w:rPr>
                <w:rFonts w:hint="eastAsia"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7.8960</w:t>
            </w:r>
          </w:p>
        </w:tc>
      </w:tr>
      <w:tr w14:paraId="69BC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2D5DFF69">
            <w:pPr>
              <w:spacing w:line="276" w:lineRule="auto"/>
              <w:jc w:val="center"/>
              <w:rPr>
                <w:rFonts w:hint="eastAsia" w:ascii="Times New Roman" w:hAnsi="Times New Roman" w:eastAsia="宋体"/>
              </w:rPr>
            </w:pPr>
          </w:p>
        </w:tc>
        <w:tc>
          <w:tcPr>
            <w:tcW w:w="982" w:type="pct"/>
            <w:vAlign w:val="center"/>
          </w:tcPr>
          <w:p w14:paraId="174245FC">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固废处理</w:t>
            </w:r>
          </w:p>
        </w:tc>
        <w:tc>
          <w:tcPr>
            <w:tcW w:w="782" w:type="pct"/>
            <w:vAlign w:val="center"/>
          </w:tcPr>
          <w:p w14:paraId="39A7F96F">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0.2</w:t>
            </w:r>
          </w:p>
        </w:tc>
        <w:tc>
          <w:tcPr>
            <w:tcW w:w="782" w:type="pct"/>
            <w:vAlign w:val="center"/>
          </w:tcPr>
          <w:p w14:paraId="4428145F">
            <w:pPr>
              <w:spacing w:line="276" w:lineRule="auto"/>
              <w:jc w:val="center"/>
              <w:rPr>
                <w:rFonts w:hint="eastAsia"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c>
          <w:tcPr>
            <w:tcW w:w="782" w:type="pct"/>
            <w:vAlign w:val="center"/>
          </w:tcPr>
          <w:p w14:paraId="380416F8">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2.4572</w:t>
            </w:r>
          </w:p>
        </w:tc>
        <w:tc>
          <w:tcPr>
            <w:tcW w:w="2740" w:type="dxa"/>
            <w:vAlign w:val="bottom"/>
          </w:tcPr>
          <w:p w14:paraId="054A99DA">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0.4914</w:t>
            </w:r>
          </w:p>
        </w:tc>
      </w:tr>
      <w:tr w14:paraId="3392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3714371A">
            <w:pPr>
              <w:spacing w:line="276" w:lineRule="auto"/>
              <w:jc w:val="center"/>
              <w:rPr>
                <w:rFonts w:hint="eastAsia" w:ascii="Times New Roman" w:hAnsi="Times New Roman" w:eastAsia="宋体"/>
              </w:rPr>
            </w:pPr>
          </w:p>
        </w:tc>
        <w:tc>
          <w:tcPr>
            <w:tcW w:w="982" w:type="pct"/>
            <w:vAlign w:val="center"/>
          </w:tcPr>
          <w:p w14:paraId="0E412A33">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废水处理</w:t>
            </w:r>
          </w:p>
        </w:tc>
        <w:tc>
          <w:tcPr>
            <w:tcW w:w="782" w:type="pct"/>
            <w:vAlign w:val="center"/>
          </w:tcPr>
          <w:p w14:paraId="4CA53630">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1.59</w:t>
            </w:r>
          </w:p>
        </w:tc>
        <w:tc>
          <w:tcPr>
            <w:tcW w:w="782" w:type="pct"/>
            <w:vAlign w:val="center"/>
          </w:tcPr>
          <w:p w14:paraId="045D9909">
            <w:pPr>
              <w:spacing w:line="276" w:lineRule="auto"/>
              <w:jc w:val="center"/>
              <w:rPr>
                <w:rFonts w:hint="eastAsia"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m</w:t>
            </w:r>
            <w:r>
              <w:rPr>
                <w:rFonts w:hint="eastAsia" w:ascii="Times New Roman" w:hAnsi="Times New Roman" w:eastAsia="宋体"/>
                <w:i w:val="0"/>
                <w:iCs w:val="0"/>
                <w:color w:val="auto"/>
                <w:vertAlign w:val="superscript"/>
                <w:lang w:val="en-US" w:eastAsia="zh-CN"/>
              </w:rPr>
              <w:t>3</w:t>
            </w:r>
          </w:p>
        </w:tc>
        <w:tc>
          <w:tcPr>
            <w:tcW w:w="782" w:type="pct"/>
            <w:vAlign w:val="center"/>
          </w:tcPr>
          <w:p w14:paraId="2B180B3C">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0.0030</w:t>
            </w:r>
          </w:p>
        </w:tc>
        <w:tc>
          <w:tcPr>
            <w:tcW w:w="2740" w:type="dxa"/>
            <w:vAlign w:val="bottom"/>
          </w:tcPr>
          <w:p w14:paraId="176ABA23">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0.0048</w:t>
            </w:r>
          </w:p>
        </w:tc>
      </w:tr>
      <w:tr w14:paraId="0AC0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2D4D15E8">
            <w:pPr>
              <w:spacing w:line="276" w:lineRule="auto"/>
              <w:jc w:val="center"/>
              <w:rPr>
                <w:rFonts w:ascii="Times New Roman" w:hAnsi="Times New Roman" w:eastAsia="宋体"/>
              </w:rPr>
            </w:pPr>
          </w:p>
        </w:tc>
        <w:tc>
          <w:tcPr>
            <w:tcW w:w="982" w:type="pct"/>
            <w:vAlign w:val="center"/>
          </w:tcPr>
          <w:p w14:paraId="253F1C0D">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固废运输</w:t>
            </w:r>
          </w:p>
        </w:tc>
        <w:tc>
          <w:tcPr>
            <w:tcW w:w="782" w:type="pct"/>
            <w:vAlign w:val="center"/>
          </w:tcPr>
          <w:p w14:paraId="0123F4AB">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0.01</w:t>
            </w:r>
          </w:p>
        </w:tc>
        <w:tc>
          <w:tcPr>
            <w:tcW w:w="782" w:type="pct"/>
            <w:vAlign w:val="center"/>
          </w:tcPr>
          <w:p w14:paraId="5B6E04B5">
            <w:pPr>
              <w:spacing w:line="276" w:lineRule="auto"/>
              <w:jc w:val="center"/>
              <w:rPr>
                <w:rFonts w:hint="default" w:ascii="Times New Roman" w:hAnsi="Times New Roman" w:eastAsia="宋体"/>
                <w:i w:val="0"/>
                <w:iCs w:val="0"/>
                <w:color w:val="auto"/>
                <w:lang w:val="en-US"/>
              </w:rPr>
            </w:pPr>
            <w:r>
              <w:rPr>
                <w:rFonts w:hint="eastAsia" w:ascii="Times New Roman" w:hAnsi="Times New Roman" w:eastAsia="宋体"/>
                <w:i w:val="0"/>
                <w:iCs w:val="0"/>
                <w:color w:val="auto"/>
                <w:lang w:val="en-US" w:eastAsia="zh-CN"/>
              </w:rPr>
              <w:t>t.km</w:t>
            </w:r>
          </w:p>
        </w:tc>
        <w:tc>
          <w:tcPr>
            <w:tcW w:w="782" w:type="pct"/>
            <w:vAlign w:val="center"/>
          </w:tcPr>
          <w:p w14:paraId="26B783A0">
            <w:pPr>
              <w:keepNext w:val="0"/>
              <w:keepLines w:val="0"/>
              <w:widowControl/>
              <w:suppressLineNumbers w:val="0"/>
              <w:jc w:val="center"/>
              <w:textAlignment w:val="bottom"/>
              <w:rPr>
                <w:rFonts w:hint="default"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0.1540</w:t>
            </w:r>
          </w:p>
        </w:tc>
        <w:tc>
          <w:tcPr>
            <w:tcW w:w="2740" w:type="dxa"/>
            <w:vAlign w:val="bottom"/>
          </w:tcPr>
          <w:p w14:paraId="69415755">
            <w:pPr>
              <w:keepNext w:val="0"/>
              <w:keepLines w:val="0"/>
              <w:widowControl/>
              <w:suppressLineNumbers w:val="0"/>
              <w:jc w:val="center"/>
              <w:textAlignment w:val="bottom"/>
              <w:rPr>
                <w:rFonts w:hint="eastAsia" w:ascii="Times New Roman" w:hAnsi="Times New Roman" w:eastAsia="等线" w:cs="Times New Roman"/>
                <w:i w:val="0"/>
                <w:iCs w:val="0"/>
                <w:color w:val="auto"/>
                <w:kern w:val="0"/>
                <w:sz w:val="21"/>
                <w:szCs w:val="21"/>
                <w:u w:val="none"/>
                <w:lang w:val="en-US" w:eastAsia="zh-CN" w:bidi="ar"/>
              </w:rPr>
            </w:pPr>
            <w:r>
              <w:rPr>
                <w:rFonts w:hint="eastAsia" w:ascii="Times New Roman" w:hAnsi="Times New Roman" w:eastAsia="等线" w:cs="Times New Roman"/>
                <w:i w:val="0"/>
                <w:iCs w:val="0"/>
                <w:color w:val="auto"/>
                <w:kern w:val="0"/>
                <w:sz w:val="21"/>
                <w:szCs w:val="21"/>
                <w:u w:val="none"/>
                <w:lang w:val="en-US" w:eastAsia="zh-CN" w:bidi="ar"/>
              </w:rPr>
              <w:t>0.0015</w:t>
            </w:r>
          </w:p>
        </w:tc>
      </w:tr>
    </w:tbl>
    <w:p w14:paraId="5489B092">
      <w:pPr>
        <w:spacing w:line="360" w:lineRule="auto"/>
        <w:rPr>
          <w:rFonts w:ascii="Times New Roman" w:hAnsi="Times New Roman" w:eastAsia="宋体"/>
        </w:rPr>
      </w:pPr>
    </w:p>
    <w:p w14:paraId="5A5903C0">
      <w:pPr>
        <w:pStyle w:val="3"/>
        <w:keepNext w:val="0"/>
        <w:keepLines w:val="0"/>
        <w:numPr>
          <w:ilvl w:val="0"/>
          <w:numId w:val="6"/>
        </w:numPr>
        <w:spacing w:before="80" w:line="360" w:lineRule="auto"/>
        <w:rPr>
          <w:rFonts w:ascii="Times New Roman" w:hAnsi="Times New Roman" w:eastAsia="宋体"/>
          <w:b/>
          <w:bCs/>
          <w:color w:val="auto"/>
          <w:sz w:val="28"/>
          <w:szCs w:val="28"/>
        </w:rPr>
        <w:sectPr>
          <w:pgSz w:w="16838" w:h="11906" w:orient="landscape"/>
          <w:pgMar w:top="1800" w:right="1440" w:bottom="1800" w:left="1440" w:header="851" w:footer="992" w:gutter="0"/>
          <w:cols w:space="425" w:num="1"/>
          <w:docGrid w:type="lines" w:linePitch="312" w:charSpace="0"/>
        </w:sectPr>
      </w:pPr>
    </w:p>
    <w:p w14:paraId="222F22D6">
      <w:pPr>
        <w:pStyle w:val="3"/>
        <w:keepNext w:val="0"/>
        <w:keepLines w:val="0"/>
        <w:numPr>
          <w:ilvl w:val="0"/>
          <w:numId w:val="6"/>
        </w:numPr>
        <w:spacing w:before="80" w:line="360" w:lineRule="auto"/>
        <w:rPr>
          <w:rFonts w:ascii="Times New Roman" w:hAnsi="Times New Roman" w:eastAsia="宋体"/>
          <w:b/>
          <w:bCs/>
          <w:color w:val="auto"/>
          <w:sz w:val="28"/>
          <w:szCs w:val="28"/>
        </w:rPr>
      </w:pPr>
      <w:bookmarkStart w:id="18" w:name="_Toc3192"/>
      <w:r>
        <w:rPr>
          <w:rFonts w:hint="eastAsia" w:ascii="Times New Roman" w:hAnsi="Times New Roman" w:eastAsia="宋体"/>
          <w:b/>
          <w:bCs/>
          <w:color w:val="auto"/>
          <w:sz w:val="28"/>
          <w:szCs w:val="28"/>
        </w:rPr>
        <w:t>数据质量评价</w:t>
      </w:r>
      <w:r>
        <w:rPr>
          <w:rFonts w:hint="eastAsia" w:ascii="Times New Roman" w:hAnsi="Times New Roman" w:eastAsia="宋体"/>
          <w:b/>
          <w:bCs/>
          <w:color w:val="auto"/>
          <w:sz w:val="28"/>
          <w:szCs w:val="28"/>
          <w:lang w:eastAsia="zh-CN"/>
        </w:rPr>
        <w:t>（</w:t>
      </w:r>
      <w:r>
        <w:rPr>
          <w:rFonts w:hint="eastAsia" w:ascii="Times New Roman" w:hAnsi="Times New Roman" w:eastAsia="宋体"/>
          <w:b/>
          <w:bCs/>
          <w:color w:val="auto"/>
          <w:sz w:val="28"/>
          <w:szCs w:val="28"/>
          <w:lang w:val="en-US" w:eastAsia="zh-CN"/>
        </w:rPr>
        <w:t>可选项</w:t>
      </w:r>
      <w:r>
        <w:rPr>
          <w:rFonts w:hint="eastAsia" w:ascii="Times New Roman" w:hAnsi="Times New Roman" w:eastAsia="宋体"/>
          <w:b/>
          <w:bCs/>
          <w:color w:val="auto"/>
          <w:sz w:val="28"/>
          <w:szCs w:val="28"/>
          <w:lang w:eastAsia="zh-CN"/>
        </w:rPr>
        <w:t>）</w:t>
      </w:r>
      <w:bookmarkEnd w:id="18"/>
    </w:p>
    <w:p w14:paraId="5FE86C36">
      <w:pPr>
        <w:spacing w:line="360" w:lineRule="auto"/>
        <w:ind w:firstLine="480" w:firstLineChars="200"/>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t>报告代表具体企业及产品研究，时间、地理、技术代表性如下：</w:t>
      </w:r>
    </w:p>
    <w:p w14:paraId="728C30E6">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rPr>
        <w:t>(1)时间代表性：</w:t>
      </w:r>
      <w:r>
        <w:rPr>
          <w:rFonts w:hint="default" w:ascii="Times New Roman Regular" w:hAnsi="Times New Roman Regular" w:eastAsia="宋体" w:cs="Times New Roman Regular"/>
          <w:sz w:val="24"/>
          <w:szCs w:val="24"/>
          <w:lang w:val="en-US" w:eastAsia="zh-CN"/>
        </w:rPr>
        <w:t>报告期为</w:t>
      </w:r>
      <w:r>
        <w:rPr>
          <w:rFonts w:hint="default" w:ascii="Times New Roman Regular" w:hAnsi="Times New Roman Regular" w:eastAsia="宋体" w:cs="Times New Roman Regular"/>
          <w:sz w:val="24"/>
          <w:szCs w:val="24"/>
          <w:lang w:val="en-US"/>
        </w:rPr>
        <w:t>2024</w:t>
      </w:r>
      <w:r>
        <w:rPr>
          <w:rFonts w:hint="default" w:ascii="Times New Roman Regular" w:hAnsi="Times New Roman Regular" w:eastAsia="宋体" w:cs="Times New Roman Regular"/>
          <w:sz w:val="24"/>
          <w:szCs w:val="24"/>
          <w:lang w:val="en-US" w:eastAsia="zh-CN"/>
        </w:rPr>
        <w:t>年</w:t>
      </w:r>
      <w:r>
        <w:rPr>
          <w:rFonts w:hint="eastAsia" w:ascii="Times New Roman Regular" w:hAnsi="Times New Roman Regular" w:eastAsia="宋体" w:cs="Times New Roman Regular"/>
          <w:sz w:val="24"/>
          <w:szCs w:val="24"/>
          <w:lang w:val="en-US" w:eastAsia="zh-CN"/>
        </w:rPr>
        <w:t>1</w:t>
      </w:r>
      <w:r>
        <w:rPr>
          <w:rFonts w:hint="default" w:ascii="Times New Roman Regular" w:hAnsi="Times New Roman Regular" w:eastAsia="宋体" w:cs="Times New Roman Regular"/>
          <w:sz w:val="24"/>
          <w:szCs w:val="24"/>
          <w:lang w:val="en-US" w:eastAsia="zh-CN"/>
        </w:rPr>
        <w:t>月1日～202</w:t>
      </w:r>
      <w:r>
        <w:rPr>
          <w:rFonts w:hint="eastAsia" w:ascii="Times New Roman Regular" w:hAnsi="Times New Roman Regular" w:eastAsia="宋体" w:cs="Times New Roman Regular"/>
          <w:sz w:val="24"/>
          <w:szCs w:val="24"/>
          <w:lang w:val="en-US" w:eastAsia="zh-CN"/>
        </w:rPr>
        <w:t>4</w:t>
      </w:r>
      <w:r>
        <w:rPr>
          <w:rFonts w:hint="default" w:ascii="Times New Roman Regular" w:hAnsi="Times New Roman Regular" w:eastAsia="宋体" w:cs="Times New Roman Regular"/>
          <w:sz w:val="24"/>
          <w:szCs w:val="24"/>
          <w:lang w:val="en-US" w:eastAsia="zh-CN"/>
        </w:rPr>
        <w:t>年</w:t>
      </w:r>
      <w:r>
        <w:rPr>
          <w:rFonts w:hint="eastAsia" w:ascii="Times New Roman Regular" w:hAnsi="Times New Roman Regular" w:eastAsia="宋体" w:cs="Times New Roman Regular"/>
          <w:sz w:val="24"/>
          <w:szCs w:val="24"/>
          <w:lang w:val="en-US" w:eastAsia="zh-CN"/>
        </w:rPr>
        <w:t>12</w:t>
      </w:r>
      <w:r>
        <w:rPr>
          <w:rFonts w:hint="default" w:ascii="Times New Roman Regular" w:hAnsi="Times New Roman Regular" w:eastAsia="宋体" w:cs="Times New Roman Regular"/>
          <w:sz w:val="24"/>
          <w:szCs w:val="24"/>
          <w:lang w:val="en-US" w:eastAsia="zh-CN"/>
        </w:rPr>
        <w:t>月31日；</w:t>
      </w:r>
    </w:p>
    <w:p w14:paraId="073CED3B">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default" w:ascii="Times New Roman Regular" w:hAnsi="Times New Roman Regular" w:eastAsia="宋体" w:cs="Times New Roman Regular"/>
          <w:sz w:val="24"/>
          <w:szCs w:val="24"/>
        </w:rPr>
        <w:t>(2)地理代表性：</w:t>
      </w:r>
      <w:r>
        <w:rPr>
          <w:rFonts w:hint="eastAsia" w:ascii="Times New Roman Regular" w:hAnsi="Times New Roman Regular" w:eastAsia="宋体" w:cs="Times New Roman Regular"/>
          <w:sz w:val="24"/>
          <w:szCs w:val="24"/>
          <w:lang w:val="en-US" w:eastAsia="zh-CN"/>
        </w:rPr>
        <w:t>主要初级活动数据来源</w:t>
      </w:r>
      <w:r>
        <w:rPr>
          <w:rFonts w:hint="default" w:ascii="Times New Roman Regular" w:hAnsi="Times New Roman Regular" w:eastAsia="宋体" w:cs="Times New Roman Regular"/>
          <w:sz w:val="24"/>
          <w:szCs w:val="24"/>
          <w:lang w:val="en-US" w:eastAsia="zh-CN"/>
        </w:rPr>
        <w:t>生产地址位于</w:t>
      </w:r>
      <w:r>
        <w:rPr>
          <w:rFonts w:hint="eastAsia" w:ascii="Times New Roman Regular" w:hAnsi="Times New Roman Regular" w:eastAsia="宋体" w:cs="Times New Roman Regular"/>
          <w:sz w:val="24"/>
          <w:szCs w:val="24"/>
          <w:lang w:val="en-US" w:eastAsia="zh-CN"/>
        </w:rPr>
        <w:t>安徽省淮南市谢家集区卧园路</w:t>
      </w:r>
      <w:r>
        <w:rPr>
          <w:rFonts w:hint="default" w:ascii="Times New Roman Regular" w:hAnsi="Times New Roman Regular" w:eastAsia="宋体" w:cs="Times New Roman Regular"/>
          <w:sz w:val="24"/>
          <w:szCs w:val="24"/>
          <w:lang w:eastAsia="zh-CN"/>
        </w:rPr>
        <w:t>；</w:t>
      </w:r>
      <w:r>
        <w:rPr>
          <w:rFonts w:hint="eastAsia" w:ascii="Times New Roman Regular" w:hAnsi="Times New Roman Regular" w:eastAsia="宋体" w:cs="Times New Roman Regular"/>
          <w:sz w:val="24"/>
          <w:szCs w:val="24"/>
          <w:lang w:val="en-US" w:eastAsia="zh-CN"/>
        </w:rPr>
        <w:t>次级活动数据优先使用实测数据，没有实测数据，依次选用区域、国家、国际认可的背景数据。</w:t>
      </w:r>
    </w:p>
    <w:p w14:paraId="4765A5B5">
      <w:pPr>
        <w:spacing w:line="360" w:lineRule="auto"/>
        <w:ind w:firstLine="480" w:firstLineChars="200"/>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t>(3)技术代表性如下：</w:t>
      </w:r>
    </w:p>
    <w:p w14:paraId="37ACA437">
      <w:pPr>
        <w:spacing w:line="360" w:lineRule="auto"/>
        <w:ind w:firstLine="480" w:firstLineChars="200"/>
      </w:pPr>
      <w:r>
        <w:rPr>
          <w:rFonts w:hint="default" w:ascii="Times New Roman Regular" w:hAnsi="Times New Roman Regular" w:eastAsia="宋体" w:cs="Times New Roman Regular"/>
          <w:sz w:val="24"/>
          <w:szCs w:val="24"/>
        </w:rPr>
        <w:t>a)生产工艺流程：</w:t>
      </w:r>
      <w:r>
        <w:rPr>
          <w:rFonts w:hint="eastAsia" w:ascii="Times New Roman Regular" w:hAnsi="Times New Roman Regular" w:eastAsia="宋体" w:cs="Times New Roman Regular"/>
          <w:sz w:val="24"/>
          <w:szCs w:val="24"/>
          <w:lang w:eastAsia="zh-CN"/>
        </w:rPr>
        <w:t>锚固剂的生产过程概括为树脂胶泥组分和固化剂组分的分别制作，通过锚固剂包装机包装成药卷的过程。树脂胶泥组分的制作工艺流程为树脂预混料工序、胶泥预混料工序；固化剂组分的制作工艺流程为固化剂预混料工序、固化剂糊混料工序。两组分通过计量、泵送至包装机包装（锚固剂灌装工序），按不同规格型号剪切、装箱、打包、入库。</w:t>
      </w:r>
    </w:p>
    <w:p w14:paraId="1D163132">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rPr>
        <w:t>b)主要原料：</w:t>
      </w:r>
      <w:r>
        <w:rPr>
          <w:rFonts w:hint="eastAsia" w:ascii="Times New Roman Regular" w:hAnsi="Times New Roman Regular" w:eastAsia="宋体" w:cs="Times New Roman Regular"/>
          <w:sz w:val="24"/>
          <w:szCs w:val="24"/>
          <w:lang w:val="en-US" w:eastAsia="zh-CN"/>
        </w:rPr>
        <w:t>不饱和脂树脂、石粉等</w:t>
      </w:r>
    </w:p>
    <w:p w14:paraId="7769FC04">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rPr>
        <w:t>c)生产规模（年产能）：</w:t>
      </w:r>
      <w:r>
        <w:rPr>
          <w:rFonts w:hint="eastAsia" w:ascii="Times New Roman Regular" w:hAnsi="Times New Roman Regular" w:eastAsia="宋体" w:cs="Times New Roman Regular"/>
          <w:sz w:val="24"/>
          <w:szCs w:val="24"/>
          <w:lang w:val="en-US" w:eastAsia="zh-CN"/>
        </w:rPr>
        <w:t>50000吨，2024年总产量14070吨；</w:t>
      </w:r>
    </w:p>
    <w:p w14:paraId="4433F4C7">
      <w:pPr>
        <w:spacing w:line="360" w:lineRule="auto"/>
        <w:ind w:firstLine="480" w:firstLineChars="200"/>
        <w:rPr>
          <w:rFonts w:hint="eastAsia"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rPr>
        <w:t>d)主要能耗：</w:t>
      </w:r>
      <w:r>
        <w:rPr>
          <w:rFonts w:hint="eastAsia" w:ascii="Times New Roman Regular" w:hAnsi="Times New Roman Regular" w:eastAsia="宋体" w:cs="Times New Roman Regular"/>
          <w:sz w:val="24"/>
          <w:szCs w:val="24"/>
          <w:lang w:val="en-US" w:eastAsia="zh-CN"/>
        </w:rPr>
        <w:t>电力、天然气。</w:t>
      </w:r>
    </w:p>
    <w:p w14:paraId="414CA75F">
      <w:pPr>
        <w:spacing w:line="360" w:lineRule="auto"/>
        <w:ind w:firstLine="480" w:firstLineChars="200"/>
        <w:rPr>
          <w:rFonts w:hint="default" w:ascii="Times New Roman Regular" w:hAnsi="Times New Roman Regular" w:eastAsia="宋体" w:cs="Times New Roman Regular"/>
          <w:sz w:val="24"/>
          <w:szCs w:val="24"/>
        </w:rPr>
      </w:pPr>
      <w:r>
        <w:rPr>
          <w:rFonts w:hint="eastAsia" w:ascii="Times New Roman Regular" w:hAnsi="Times New Roman Regular" w:eastAsia="宋体" w:cs="Times New Roman Regular"/>
          <w:sz w:val="24"/>
          <w:szCs w:val="24"/>
        </w:rPr>
        <w:t>数据质量可从定性和定量两个方面对报告使用的初级数据和次级数据进行评价，具体评价内容包括数据来源、完整性、数据代表性（时间、地理、技术）和准确性。</w:t>
      </w:r>
    </w:p>
    <w:p w14:paraId="7CBD4FDD">
      <w:pPr>
        <w:spacing w:line="360" w:lineRule="auto"/>
        <w:ind w:firstLine="480" w:firstLineChars="200"/>
        <w:rPr>
          <w:rFonts w:hint="eastAsia"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数据的技术代表性可参考表4-4.1给出相应判断。</w:t>
      </w:r>
    </w:p>
    <w:p w14:paraId="27E71F75">
      <w:pPr>
        <w:pStyle w:val="12"/>
        <w:spacing w:line="360" w:lineRule="auto"/>
        <w:jc w:val="center"/>
        <w:rPr>
          <w:rFonts w:hint="eastAsia" w:ascii="Times New Roman" w:hAnsi="Times New Roman" w:eastAsia="宋体" w:cs="宋体"/>
          <w:i w:val="0"/>
          <w:iCs w:val="0"/>
          <w:color w:val="auto"/>
          <w:sz w:val="21"/>
          <w:lang w:val="en-US" w:eastAsia="zh-CN"/>
        </w:rPr>
      </w:pPr>
      <w:r>
        <w:rPr>
          <w:rFonts w:hint="eastAsia" w:ascii="Times New Roman" w:hAnsi="Times New Roman" w:eastAsia="宋体" w:cs="宋体"/>
          <w:i w:val="0"/>
          <w:iCs w:val="0"/>
          <w:color w:val="auto"/>
          <w:sz w:val="21"/>
          <w:lang w:val="en-US" w:eastAsia="zh-CN"/>
        </w:rPr>
        <w:t>表4-4.1数据技术代表性评价规则</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6949"/>
      </w:tblGrid>
      <w:tr w14:paraId="1F46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3" w:type="dxa"/>
            <w:vAlign w:val="center"/>
          </w:tcPr>
          <w:p w14:paraId="2520B8CD">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TeR等级</w:t>
            </w:r>
          </w:p>
        </w:tc>
        <w:tc>
          <w:tcPr>
            <w:tcW w:w="6949" w:type="dxa"/>
            <w:vAlign w:val="center"/>
          </w:tcPr>
          <w:p w14:paraId="70F47867">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说明</w:t>
            </w:r>
          </w:p>
        </w:tc>
      </w:tr>
      <w:tr w14:paraId="78CF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3" w:type="dxa"/>
            <w:vAlign w:val="center"/>
          </w:tcPr>
          <w:p w14:paraId="24495834">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1</w:t>
            </w:r>
          </w:p>
        </w:tc>
        <w:tc>
          <w:tcPr>
            <w:tcW w:w="6949" w:type="dxa"/>
            <w:vAlign w:val="center"/>
          </w:tcPr>
          <w:p w14:paraId="71BE6184">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工艺、设备、原料完全一致（如使用相同生产线数据）</w:t>
            </w:r>
          </w:p>
        </w:tc>
      </w:tr>
      <w:tr w14:paraId="25AF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3" w:type="dxa"/>
            <w:vAlign w:val="center"/>
          </w:tcPr>
          <w:p w14:paraId="38AAA64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2</w:t>
            </w:r>
          </w:p>
        </w:tc>
        <w:tc>
          <w:tcPr>
            <w:tcW w:w="6949" w:type="dxa"/>
            <w:vAlign w:val="center"/>
          </w:tcPr>
          <w:p w14:paraId="51E9A2D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主要工艺相同、次要参数差异（如设备型号不同）</w:t>
            </w:r>
          </w:p>
        </w:tc>
      </w:tr>
      <w:tr w14:paraId="7B58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3" w:type="dxa"/>
            <w:vAlign w:val="center"/>
          </w:tcPr>
          <w:p w14:paraId="03E3C0D7">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3</w:t>
            </w:r>
          </w:p>
        </w:tc>
        <w:tc>
          <w:tcPr>
            <w:tcW w:w="6949" w:type="dxa"/>
            <w:vAlign w:val="center"/>
          </w:tcPr>
          <w:p w14:paraId="5E8F643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工艺相似但原料或设备差异较大（如不同工艺路线的同类产品）</w:t>
            </w:r>
          </w:p>
        </w:tc>
      </w:tr>
      <w:tr w14:paraId="4605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3" w:type="dxa"/>
            <w:vAlign w:val="center"/>
          </w:tcPr>
          <w:p w14:paraId="1D4EF1A5">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4</w:t>
            </w:r>
          </w:p>
        </w:tc>
        <w:tc>
          <w:tcPr>
            <w:tcW w:w="6949" w:type="dxa"/>
            <w:vAlign w:val="center"/>
          </w:tcPr>
          <w:p w14:paraId="7F9966D0">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仅部分技术特征匹配（如原料不同但产品功能相似）</w:t>
            </w:r>
          </w:p>
        </w:tc>
      </w:tr>
      <w:tr w14:paraId="1B28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3" w:type="dxa"/>
            <w:vAlign w:val="center"/>
          </w:tcPr>
          <w:p w14:paraId="7013517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5</w:t>
            </w:r>
          </w:p>
        </w:tc>
        <w:tc>
          <w:tcPr>
            <w:tcW w:w="6949" w:type="dxa"/>
            <w:vAlign w:val="center"/>
          </w:tcPr>
          <w:p w14:paraId="266A3074">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技术完全不匹配或未说明</w:t>
            </w:r>
          </w:p>
        </w:tc>
      </w:tr>
    </w:tbl>
    <w:p w14:paraId="064FE71A">
      <w:pPr>
        <w:spacing w:line="360" w:lineRule="auto"/>
        <w:ind w:firstLine="480" w:firstLineChars="200"/>
        <w:rPr>
          <w:rFonts w:hint="eastAsia"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数据的地理代表性可参考表4-4.2给出相应判断。</w:t>
      </w:r>
    </w:p>
    <w:p w14:paraId="23703E4B">
      <w:pPr>
        <w:pStyle w:val="12"/>
        <w:spacing w:line="360" w:lineRule="auto"/>
        <w:jc w:val="center"/>
        <w:rPr>
          <w:rFonts w:hint="eastAsia" w:ascii="Times New Roman" w:hAnsi="Times New Roman" w:eastAsia="宋体" w:cs="宋体"/>
          <w:i w:val="0"/>
          <w:iCs w:val="0"/>
          <w:color w:val="auto"/>
          <w:sz w:val="21"/>
          <w:lang w:val="en-US" w:eastAsia="zh-CN"/>
        </w:rPr>
      </w:pPr>
      <w:r>
        <w:rPr>
          <w:rFonts w:hint="eastAsia" w:ascii="Times New Roman" w:hAnsi="Times New Roman" w:eastAsia="宋体" w:cs="宋体"/>
          <w:i w:val="0"/>
          <w:iCs w:val="0"/>
          <w:color w:val="auto"/>
          <w:sz w:val="21"/>
          <w:lang w:val="en-US" w:eastAsia="zh-CN"/>
        </w:rPr>
        <w:t>表4-4.2数据地理代表性评价规则</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6918"/>
      </w:tblGrid>
      <w:tr w14:paraId="47C0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4" w:type="dxa"/>
            <w:vAlign w:val="center"/>
          </w:tcPr>
          <w:p w14:paraId="4FD7E7E3">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GR</w:t>
            </w:r>
            <w:r>
              <w:rPr>
                <w:rFonts w:hint="eastAsia" w:ascii="Times New Roman Regular" w:hAnsi="Times New Roman Regular" w:eastAsia="宋体" w:cs="Times New Roman Regular"/>
                <w:sz w:val="21"/>
                <w:szCs w:val="21"/>
                <w:vertAlign w:val="baseline"/>
                <w:lang w:val="en-US" w:eastAsia="zh-CN"/>
              </w:rPr>
              <w:t>等级</w:t>
            </w:r>
          </w:p>
        </w:tc>
        <w:tc>
          <w:tcPr>
            <w:tcW w:w="6918" w:type="dxa"/>
            <w:vAlign w:val="center"/>
          </w:tcPr>
          <w:p w14:paraId="50747AE4">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说明（以上海为例）</w:t>
            </w:r>
          </w:p>
        </w:tc>
      </w:tr>
      <w:tr w14:paraId="33E5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4" w:type="dxa"/>
            <w:vAlign w:val="center"/>
          </w:tcPr>
          <w:p w14:paraId="0FE043F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1</w:t>
            </w:r>
          </w:p>
        </w:tc>
        <w:tc>
          <w:tcPr>
            <w:tcW w:w="6918" w:type="dxa"/>
            <w:vAlign w:val="center"/>
          </w:tcPr>
          <w:p w14:paraId="5A59383C">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本地数据（如企业生产现场数据）</w:t>
            </w:r>
          </w:p>
        </w:tc>
      </w:tr>
      <w:tr w14:paraId="0BC4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4" w:type="dxa"/>
            <w:vAlign w:val="center"/>
          </w:tcPr>
          <w:p w14:paraId="655FBAC9">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2</w:t>
            </w:r>
          </w:p>
        </w:tc>
        <w:tc>
          <w:tcPr>
            <w:tcW w:w="6918" w:type="dxa"/>
            <w:vAlign w:val="center"/>
          </w:tcPr>
          <w:p w14:paraId="7E625A03">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同区域数据（如华东区数据）</w:t>
            </w:r>
          </w:p>
        </w:tc>
      </w:tr>
      <w:tr w14:paraId="7F53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4" w:type="dxa"/>
            <w:vAlign w:val="center"/>
          </w:tcPr>
          <w:p w14:paraId="260DE120">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3</w:t>
            </w:r>
          </w:p>
        </w:tc>
        <w:tc>
          <w:tcPr>
            <w:tcW w:w="6918" w:type="dxa"/>
            <w:vAlign w:val="center"/>
          </w:tcPr>
          <w:p w14:paraId="2B7E5AEF">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中国其他地区数据（如广东省数据）</w:t>
            </w:r>
          </w:p>
        </w:tc>
      </w:tr>
      <w:tr w14:paraId="3190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4" w:type="dxa"/>
            <w:vAlign w:val="center"/>
          </w:tcPr>
          <w:p w14:paraId="4BCE1845">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4</w:t>
            </w:r>
          </w:p>
        </w:tc>
        <w:tc>
          <w:tcPr>
            <w:tcW w:w="6918" w:type="dxa"/>
            <w:vAlign w:val="center"/>
          </w:tcPr>
          <w:p w14:paraId="61900FB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亚洲其他国家数据（如日本、韩国数据）</w:t>
            </w:r>
          </w:p>
        </w:tc>
      </w:tr>
      <w:tr w14:paraId="0C2E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4" w:type="dxa"/>
            <w:vAlign w:val="center"/>
          </w:tcPr>
          <w:p w14:paraId="478D547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5</w:t>
            </w:r>
          </w:p>
        </w:tc>
        <w:tc>
          <w:tcPr>
            <w:tcW w:w="6918" w:type="dxa"/>
            <w:vAlign w:val="center"/>
          </w:tcPr>
          <w:p w14:paraId="23455BDC">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其他地区或未明确来源数据</w:t>
            </w:r>
          </w:p>
        </w:tc>
      </w:tr>
    </w:tbl>
    <w:p w14:paraId="439DAE65">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数据的时间代表性可参考表4-4.3给出相应判断。</w:t>
      </w:r>
    </w:p>
    <w:p w14:paraId="603457AC">
      <w:pPr>
        <w:pStyle w:val="12"/>
        <w:spacing w:line="360" w:lineRule="auto"/>
        <w:jc w:val="center"/>
        <w:rPr>
          <w:rFonts w:hint="eastAsia" w:ascii="Times New Roman" w:hAnsi="Times New Roman" w:eastAsia="宋体" w:cs="宋体"/>
          <w:i w:val="0"/>
          <w:iCs w:val="0"/>
          <w:color w:val="auto"/>
          <w:sz w:val="21"/>
          <w:lang w:val="en-US" w:eastAsia="zh-CN"/>
        </w:rPr>
      </w:pPr>
      <w:r>
        <w:rPr>
          <w:rFonts w:hint="eastAsia" w:ascii="Times New Roman" w:hAnsi="Times New Roman" w:eastAsia="宋体" w:cs="宋体"/>
          <w:i w:val="0"/>
          <w:iCs w:val="0"/>
          <w:color w:val="auto"/>
          <w:sz w:val="21"/>
          <w:lang w:val="en-US" w:eastAsia="zh-CN"/>
        </w:rPr>
        <w:t>表4-4.3数据时间代表性评价规则</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6980"/>
      </w:tblGrid>
      <w:tr w14:paraId="777E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5FF0BF2D">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T</w:t>
            </w:r>
            <w:r>
              <w:rPr>
                <w:rFonts w:hint="eastAsia" w:ascii="Times New Roman Regular" w:hAnsi="Times New Roman Regular" w:eastAsia="宋体" w:cs="Times New Roman Regular"/>
                <w:sz w:val="21"/>
                <w:szCs w:val="21"/>
                <w:vertAlign w:val="baseline"/>
                <w:lang w:val="en-US" w:eastAsia="zh-CN"/>
              </w:rPr>
              <w:t>i</w:t>
            </w:r>
            <w:r>
              <w:rPr>
                <w:rFonts w:hint="default" w:ascii="Times New Roman Regular" w:hAnsi="Times New Roman Regular" w:eastAsia="宋体" w:cs="Times New Roman Regular"/>
                <w:sz w:val="21"/>
                <w:szCs w:val="21"/>
                <w:vertAlign w:val="baseline"/>
                <w:lang w:val="en-US" w:eastAsia="zh-CN"/>
              </w:rPr>
              <w:t>R</w:t>
            </w:r>
            <w:r>
              <w:rPr>
                <w:rFonts w:hint="eastAsia" w:ascii="Times New Roman Regular" w:hAnsi="Times New Roman Regular" w:eastAsia="宋体" w:cs="Times New Roman Regular"/>
                <w:sz w:val="21"/>
                <w:szCs w:val="21"/>
                <w:vertAlign w:val="baseline"/>
                <w:lang w:val="en-US" w:eastAsia="zh-CN"/>
              </w:rPr>
              <w:t>等级</w:t>
            </w:r>
          </w:p>
        </w:tc>
        <w:tc>
          <w:tcPr>
            <w:tcW w:w="6980" w:type="dxa"/>
            <w:vAlign w:val="center"/>
          </w:tcPr>
          <w:p w14:paraId="0A499BA9">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说明</w:t>
            </w:r>
          </w:p>
        </w:tc>
      </w:tr>
      <w:tr w14:paraId="73A5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11A5B35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1</w:t>
            </w:r>
          </w:p>
        </w:tc>
        <w:tc>
          <w:tcPr>
            <w:tcW w:w="6980" w:type="dxa"/>
            <w:vAlign w:val="center"/>
          </w:tcPr>
          <w:p w14:paraId="03E8D9A8">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3年内数据（如2025年评价使用2023年数据）</w:t>
            </w:r>
          </w:p>
        </w:tc>
      </w:tr>
      <w:tr w14:paraId="7F3A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7BAC4B2F">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2</w:t>
            </w:r>
          </w:p>
        </w:tc>
        <w:tc>
          <w:tcPr>
            <w:tcW w:w="6980" w:type="dxa"/>
            <w:vAlign w:val="center"/>
          </w:tcPr>
          <w:p w14:paraId="7DB12175">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4～6年内数据</w:t>
            </w:r>
          </w:p>
        </w:tc>
      </w:tr>
      <w:tr w14:paraId="368B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683A175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3</w:t>
            </w:r>
          </w:p>
        </w:tc>
        <w:tc>
          <w:tcPr>
            <w:tcW w:w="6980" w:type="dxa"/>
            <w:vAlign w:val="center"/>
          </w:tcPr>
          <w:p w14:paraId="1EDAC919">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7～10年内数据</w:t>
            </w:r>
          </w:p>
        </w:tc>
      </w:tr>
      <w:tr w14:paraId="0469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3D27A85E">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4</w:t>
            </w:r>
          </w:p>
        </w:tc>
        <w:tc>
          <w:tcPr>
            <w:tcW w:w="6980" w:type="dxa"/>
            <w:vAlign w:val="center"/>
          </w:tcPr>
          <w:p w14:paraId="5AA8FE7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11～15年内数据</w:t>
            </w:r>
          </w:p>
        </w:tc>
      </w:tr>
      <w:tr w14:paraId="3043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0683B2C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5</w:t>
            </w:r>
          </w:p>
        </w:tc>
        <w:tc>
          <w:tcPr>
            <w:tcW w:w="6980" w:type="dxa"/>
            <w:vAlign w:val="center"/>
          </w:tcPr>
          <w:p w14:paraId="256A485D">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15年以上或未标明年份</w:t>
            </w:r>
          </w:p>
        </w:tc>
      </w:tr>
    </w:tbl>
    <w:p w14:paraId="16890CB4">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数据的完整性可参考表4-4.4给出相应判断。</w:t>
      </w:r>
    </w:p>
    <w:p w14:paraId="52C72AD6">
      <w:pPr>
        <w:pStyle w:val="12"/>
        <w:spacing w:line="360" w:lineRule="auto"/>
        <w:jc w:val="center"/>
        <w:rPr>
          <w:rFonts w:hint="eastAsia" w:ascii="Times New Roman" w:hAnsi="Times New Roman" w:eastAsia="宋体" w:cs="宋体"/>
          <w:i w:val="0"/>
          <w:iCs w:val="0"/>
          <w:color w:val="auto"/>
          <w:sz w:val="21"/>
          <w:lang w:val="en-US" w:eastAsia="zh-CN"/>
        </w:rPr>
      </w:pPr>
      <w:r>
        <w:rPr>
          <w:rFonts w:hint="eastAsia" w:ascii="Times New Roman" w:hAnsi="Times New Roman" w:eastAsia="宋体" w:cs="宋体"/>
          <w:i w:val="0"/>
          <w:iCs w:val="0"/>
          <w:color w:val="auto"/>
          <w:sz w:val="21"/>
          <w:lang w:val="en-US" w:eastAsia="zh-CN"/>
        </w:rPr>
        <w:t>表4-4.4数据完整性评价规则</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6980"/>
      </w:tblGrid>
      <w:tr w14:paraId="640A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542" w:type="dxa"/>
            <w:vAlign w:val="center"/>
          </w:tcPr>
          <w:p w14:paraId="6B5327C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C</w:t>
            </w:r>
            <w:r>
              <w:rPr>
                <w:rFonts w:hint="eastAsia" w:ascii="Times New Roman Regular" w:hAnsi="Times New Roman Regular" w:eastAsia="宋体" w:cs="Times New Roman Regular"/>
                <w:sz w:val="21"/>
                <w:szCs w:val="21"/>
                <w:vertAlign w:val="baseline"/>
                <w:lang w:val="en-US" w:eastAsia="zh-CN"/>
              </w:rPr>
              <w:t>等级</w:t>
            </w:r>
          </w:p>
        </w:tc>
        <w:tc>
          <w:tcPr>
            <w:tcW w:w="6980" w:type="dxa"/>
            <w:vAlign w:val="center"/>
          </w:tcPr>
          <w:p w14:paraId="77814538">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说明</w:t>
            </w:r>
          </w:p>
        </w:tc>
      </w:tr>
      <w:tr w14:paraId="5879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7E4BFC43">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1</w:t>
            </w:r>
          </w:p>
        </w:tc>
        <w:tc>
          <w:tcPr>
            <w:tcW w:w="6980" w:type="dxa"/>
            <w:vAlign w:val="center"/>
          </w:tcPr>
          <w:p w14:paraId="0955DFD5">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覆盖全部关键环节且数据详细</w:t>
            </w:r>
          </w:p>
        </w:tc>
      </w:tr>
      <w:tr w14:paraId="4F45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1BE36C9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2</w:t>
            </w:r>
          </w:p>
        </w:tc>
        <w:tc>
          <w:tcPr>
            <w:tcW w:w="6980" w:type="dxa"/>
            <w:vAlign w:val="center"/>
          </w:tcPr>
          <w:p w14:paraId="493EB8EC">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覆盖主要环节，次要环节缺失</w:t>
            </w:r>
          </w:p>
        </w:tc>
      </w:tr>
      <w:tr w14:paraId="15F7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399D5DD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3</w:t>
            </w:r>
          </w:p>
        </w:tc>
        <w:tc>
          <w:tcPr>
            <w:tcW w:w="6980" w:type="dxa"/>
            <w:vAlign w:val="center"/>
          </w:tcPr>
          <w:p w14:paraId="4132918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仅覆盖部分关键环节（如缺少运输或包装数据）</w:t>
            </w:r>
          </w:p>
        </w:tc>
      </w:tr>
      <w:tr w14:paraId="5FE0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5E4636DD">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4</w:t>
            </w:r>
          </w:p>
        </w:tc>
        <w:tc>
          <w:tcPr>
            <w:tcW w:w="6980" w:type="dxa"/>
            <w:vAlign w:val="center"/>
          </w:tcPr>
          <w:p w14:paraId="43B00EA0">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数据严重缺失（如仅提供能耗数据）</w:t>
            </w:r>
          </w:p>
        </w:tc>
      </w:tr>
      <w:tr w14:paraId="5A4D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2" w:type="dxa"/>
            <w:vAlign w:val="center"/>
          </w:tcPr>
          <w:p w14:paraId="5F120312">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5</w:t>
            </w:r>
          </w:p>
        </w:tc>
        <w:tc>
          <w:tcPr>
            <w:tcW w:w="6980" w:type="dxa"/>
            <w:vAlign w:val="center"/>
          </w:tcPr>
          <w:p w14:paraId="001150FE">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未提供完整性说明或数据明显不完整</w:t>
            </w:r>
          </w:p>
        </w:tc>
      </w:tr>
    </w:tbl>
    <w:p w14:paraId="5A30E525">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数据的来源可靠性可参考表4-4.5给出相应判断。</w:t>
      </w:r>
    </w:p>
    <w:p w14:paraId="211ADEDB">
      <w:pPr>
        <w:pStyle w:val="12"/>
        <w:spacing w:line="360" w:lineRule="auto"/>
        <w:jc w:val="center"/>
        <w:rPr>
          <w:rFonts w:hint="eastAsia" w:ascii="Times New Roman" w:hAnsi="Times New Roman" w:eastAsia="宋体" w:cs="宋体"/>
          <w:i w:val="0"/>
          <w:iCs w:val="0"/>
          <w:color w:val="auto"/>
          <w:sz w:val="21"/>
          <w:lang w:val="en-US" w:eastAsia="zh-CN"/>
        </w:rPr>
      </w:pPr>
      <w:r>
        <w:rPr>
          <w:rFonts w:hint="eastAsia" w:ascii="Times New Roman" w:hAnsi="Times New Roman" w:eastAsia="宋体" w:cs="宋体"/>
          <w:i w:val="0"/>
          <w:iCs w:val="0"/>
          <w:color w:val="auto"/>
          <w:sz w:val="21"/>
          <w:lang w:val="en-US" w:eastAsia="zh-CN"/>
        </w:rPr>
        <w:t>表4-4.5数据来源可靠性评价规则</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7027"/>
      </w:tblGrid>
      <w:tr w14:paraId="67545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5" w:type="dxa"/>
            <w:vAlign w:val="center"/>
          </w:tcPr>
          <w:p w14:paraId="338983F2">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R</w:t>
            </w:r>
            <w:r>
              <w:rPr>
                <w:rFonts w:hint="eastAsia" w:ascii="Times New Roman Regular" w:hAnsi="Times New Roman Regular" w:eastAsia="宋体" w:cs="Times New Roman Regular"/>
                <w:sz w:val="21"/>
                <w:szCs w:val="21"/>
                <w:vertAlign w:val="baseline"/>
                <w:lang w:val="en-US" w:eastAsia="zh-CN"/>
              </w:rPr>
              <w:t>等级</w:t>
            </w:r>
          </w:p>
        </w:tc>
        <w:tc>
          <w:tcPr>
            <w:tcW w:w="7027" w:type="dxa"/>
            <w:vAlign w:val="center"/>
          </w:tcPr>
          <w:p w14:paraId="401F74C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说明</w:t>
            </w:r>
          </w:p>
        </w:tc>
      </w:tr>
      <w:tr w14:paraId="3DC4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5" w:type="dxa"/>
            <w:vAlign w:val="center"/>
          </w:tcPr>
          <w:p w14:paraId="0170F11E">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1</w:t>
            </w:r>
          </w:p>
        </w:tc>
        <w:tc>
          <w:tcPr>
            <w:tcW w:w="7027" w:type="dxa"/>
            <w:vAlign w:val="center"/>
          </w:tcPr>
          <w:p w14:paraId="5C01DB88">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经第三方验证的实测数据（如检测报告）</w:t>
            </w:r>
          </w:p>
        </w:tc>
      </w:tr>
      <w:tr w14:paraId="69BF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5" w:type="dxa"/>
            <w:vAlign w:val="center"/>
          </w:tcPr>
          <w:p w14:paraId="27032529">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2</w:t>
            </w:r>
          </w:p>
        </w:tc>
        <w:tc>
          <w:tcPr>
            <w:tcW w:w="7027" w:type="dxa"/>
            <w:vAlign w:val="center"/>
          </w:tcPr>
          <w:p w14:paraId="3B83E17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企业自行测量但未验证</w:t>
            </w:r>
          </w:p>
        </w:tc>
      </w:tr>
      <w:tr w14:paraId="3FBA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5" w:type="dxa"/>
            <w:vAlign w:val="center"/>
          </w:tcPr>
          <w:p w14:paraId="14FDD58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3</w:t>
            </w:r>
          </w:p>
        </w:tc>
        <w:tc>
          <w:tcPr>
            <w:tcW w:w="7027" w:type="dxa"/>
            <w:vAlign w:val="center"/>
          </w:tcPr>
          <w:p w14:paraId="53CD9D85">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基于行业标准计算的数据（如采用国家、地方发布的排放因子、基于产品设计标准、手册等文件进行的估算数据）</w:t>
            </w:r>
          </w:p>
        </w:tc>
      </w:tr>
      <w:tr w14:paraId="6E80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5" w:type="dxa"/>
            <w:vAlign w:val="center"/>
          </w:tcPr>
          <w:p w14:paraId="1A60AA82">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4</w:t>
            </w:r>
          </w:p>
        </w:tc>
        <w:tc>
          <w:tcPr>
            <w:tcW w:w="7027" w:type="dxa"/>
            <w:vAlign w:val="center"/>
          </w:tcPr>
          <w:p w14:paraId="4000A889">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假设数据但提供合理依据（如专家判断、文献参考或经验假设）</w:t>
            </w:r>
          </w:p>
        </w:tc>
      </w:tr>
      <w:tr w14:paraId="78D8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5" w:type="dxa"/>
            <w:vAlign w:val="center"/>
          </w:tcPr>
          <w:p w14:paraId="5DB591F0">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5</w:t>
            </w:r>
          </w:p>
        </w:tc>
        <w:tc>
          <w:tcPr>
            <w:tcW w:w="7027" w:type="dxa"/>
            <w:vAlign w:val="center"/>
          </w:tcPr>
          <w:p w14:paraId="5741B4B7">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未经验证的估算数据或无来源说明</w:t>
            </w:r>
          </w:p>
        </w:tc>
      </w:tr>
    </w:tbl>
    <w:p w14:paraId="5D6A4E74">
      <w:pPr>
        <w:spacing w:line="360" w:lineRule="auto"/>
        <w:ind w:firstLine="480" w:firstLineChars="200"/>
        <w:rPr>
          <w:rFonts w:hint="eastAsia"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通过汇总各项数据质量评价结果，按各项数据对产品碳足迹结果贡献程度计算整体数据质量评分，见公式（1）和（2），计算结果对照表4-4.6对整体数据质量</w:t>
      </w:r>
      <w:r>
        <w:rPr>
          <w:rFonts w:hint="default" w:ascii="Times New Roman Regular" w:hAnsi="Times New Roman Regular" w:eastAsia="宋体" w:cs="Times New Roman Regular"/>
          <w:sz w:val="24"/>
          <w:szCs w:val="24"/>
          <w:lang w:val="en-US" w:eastAsia="zh-CN"/>
        </w:rPr>
        <w:t>DQR</w:t>
      </w:r>
      <w:r>
        <w:rPr>
          <w:rFonts w:hint="eastAsia" w:ascii="Times New Roman Regular" w:hAnsi="Times New Roman Regular" w:eastAsia="宋体" w:cs="Times New Roman Regular"/>
          <w:sz w:val="24"/>
          <w:szCs w:val="24"/>
          <w:lang w:val="en-US" w:eastAsia="zh-CN"/>
        </w:rPr>
        <w:t>进行评级。</w:t>
      </w:r>
    </w:p>
    <w:p w14:paraId="05F2C454">
      <w:pPr>
        <w:pStyle w:val="16"/>
        <w:jc w:val="right"/>
        <w:rPr>
          <w:rFonts w:hint="default" w:ascii="Times New Roman" w:hAnsi="Times New Roman" w:eastAsia="仿宋" w:cs="Times New Roman"/>
          <w:color w:val="auto"/>
          <w:kern w:val="2"/>
          <w:sz w:val="28"/>
          <w:szCs w:val="28"/>
          <w:lang w:val="en-US" w:eastAsia="zh-CN" w:bidi="ar-SA"/>
        </w:rPr>
      </w:pPr>
      <m:oMath>
        <m:r>
          <m:rPr/>
          <w:rPr>
            <w:rFonts w:hint="default" w:ascii="DejaVu Math TeX Gyre" w:hAnsi="DejaVu Math TeX Gyre" w:cstheme="minorBidi"/>
            <w:color w:val="auto"/>
            <w:kern w:val="2"/>
            <w:sz w:val="21"/>
            <w:szCs w:val="21"/>
            <w:lang w:val="en-US" w:eastAsia="zh-CN" w:bidi="ar-SA"/>
          </w:rPr>
          <m:t>DQR=</m:t>
        </m:r>
        <m:nary>
          <m:naryPr>
            <m:chr m:val="∑"/>
            <m:limLoc m:val="undOvr"/>
            <m:subHide m:val="1"/>
            <m:supHide m:val="1"/>
            <m:ctrlPr>
              <w:rPr>
                <w:rFonts w:hint="default" w:ascii="DejaVu Math TeX Gyre" w:hAnsi="DejaVu Math TeX Gyre" w:cstheme="minorBidi"/>
                <w:i/>
                <w:iCs/>
                <w:color w:val="auto"/>
                <w:kern w:val="2"/>
                <w:sz w:val="21"/>
                <w:szCs w:val="21"/>
                <w:lang w:val="en-US" w:eastAsia="zh-CN" w:bidi="ar-SA"/>
              </w:rPr>
            </m:ctrlPr>
          </m:naryPr>
          <m:sub>
            <m:ctrlPr>
              <w:rPr>
                <w:rFonts w:hint="default" w:ascii="DejaVu Math TeX Gyre" w:hAnsi="DejaVu Math TeX Gyre" w:cstheme="minorBidi"/>
                <w:i/>
                <w:iCs/>
                <w:color w:val="auto"/>
                <w:kern w:val="2"/>
                <w:sz w:val="21"/>
                <w:szCs w:val="21"/>
                <w:lang w:val="en-US" w:eastAsia="zh-CN" w:bidi="ar-SA"/>
              </w:rPr>
            </m:ctrlPr>
          </m:sub>
          <m:sup>
            <m:ctrlPr>
              <w:rPr>
                <w:rFonts w:hint="default" w:ascii="DejaVu Math TeX Gyre" w:hAnsi="DejaVu Math TeX Gyre" w:cstheme="minorBidi"/>
                <w:i/>
                <w:iCs/>
                <w:color w:val="auto"/>
                <w:kern w:val="2"/>
                <w:sz w:val="21"/>
                <w:szCs w:val="21"/>
                <w:lang w:val="en-US" w:eastAsia="zh-CN" w:bidi="ar-SA"/>
              </w:rPr>
            </m:ctrlPr>
          </m:sup>
          <m:e>
            <m:d>
              <m:dPr>
                <m:ctrlPr>
                  <w:rPr>
                    <w:rFonts w:hint="default" w:ascii="DejaVu Math TeX Gyre" w:hAnsi="DejaVu Math TeX Gyre" w:cstheme="minorBidi"/>
                    <w:i/>
                    <w:iCs/>
                    <w:color w:val="auto"/>
                    <w:kern w:val="2"/>
                    <w:sz w:val="21"/>
                    <w:szCs w:val="21"/>
                    <w:lang w:val="en-US" w:eastAsia="zh-CN" w:bidi="ar-SA"/>
                  </w:rPr>
                </m:ctrlPr>
              </m:dPr>
              <m:e>
                <m:f>
                  <m:fPr>
                    <m:ctrlPr>
                      <w:rPr>
                        <w:rFonts w:hint="default" w:ascii="DejaVu Math TeX Gyre" w:hAnsi="DejaVu Math TeX Gyre" w:cstheme="minorBidi"/>
                        <w:i/>
                        <w:iCs/>
                        <w:color w:val="auto"/>
                        <w:kern w:val="2"/>
                        <w:sz w:val="21"/>
                        <w:szCs w:val="21"/>
                        <w:lang w:val="en-US" w:eastAsia="zh-CN" w:bidi="ar-SA"/>
                      </w:rPr>
                    </m:ctrlPr>
                  </m:fPr>
                  <m:num>
                    <m:sSub>
                      <m:sSubPr>
                        <m:ctrlPr>
                          <w:rPr>
                            <w:rFonts w:hint="default" w:ascii="DejaVu Math TeX Gyre" w:hAnsi="DejaVu Math TeX Gyre" w:cstheme="minorBidi"/>
                            <w:i/>
                            <w:iCs/>
                            <w:color w:val="auto"/>
                            <w:kern w:val="2"/>
                            <w:sz w:val="21"/>
                            <w:szCs w:val="21"/>
                            <w:lang w:val="en-US" w:eastAsia="zh-CN" w:bidi="ar-SA"/>
                          </w:rPr>
                        </m:ctrlPr>
                      </m:sSubPr>
                      <m:e>
                        <m:r>
                          <m:rPr/>
                          <w:rPr>
                            <w:rFonts w:hint="default" w:ascii="DejaVu Math TeX Gyre" w:hAnsi="DejaVu Math TeX Gyre" w:cstheme="minorBidi"/>
                            <w:color w:val="auto"/>
                            <w:kern w:val="2"/>
                            <w:sz w:val="21"/>
                            <w:szCs w:val="21"/>
                            <w:lang w:val="en-US" w:eastAsia="zh-CN" w:bidi="ar-SA"/>
                          </w:rPr>
                          <m:t>DQR</m:t>
                        </m:r>
                        <m:ctrlPr>
                          <w:rPr>
                            <w:rFonts w:hint="default" w:ascii="DejaVu Math TeX Gyre" w:hAnsi="DejaVu Math TeX Gyre" w:cstheme="minorBidi"/>
                            <w:i/>
                            <w:iCs/>
                            <w:color w:val="auto"/>
                            <w:kern w:val="2"/>
                            <w:sz w:val="21"/>
                            <w:szCs w:val="21"/>
                            <w:lang w:val="en-US" w:eastAsia="zh-CN" w:bidi="ar-SA"/>
                          </w:rPr>
                        </m:ctrlPr>
                      </m:e>
                      <m:sub>
                        <m:r>
                          <m:rPr/>
                          <w:rPr>
                            <w:rFonts w:hint="default" w:ascii="DejaVu Math TeX Gyre" w:hAnsi="DejaVu Math TeX Gyre" w:cstheme="minorBidi"/>
                            <w:color w:val="auto"/>
                            <w:kern w:val="2"/>
                            <w:sz w:val="21"/>
                            <w:szCs w:val="21"/>
                            <w:lang w:val="en-US" w:eastAsia="zh-CN" w:bidi="ar-SA"/>
                          </w:rPr>
                          <m:t>活动数据i</m:t>
                        </m:r>
                        <m:ctrlPr>
                          <w:rPr>
                            <w:rFonts w:hint="default" w:ascii="DejaVu Math TeX Gyre" w:hAnsi="DejaVu Math TeX Gyre" w:cstheme="minorBidi"/>
                            <w:i/>
                            <w:iCs/>
                            <w:color w:val="auto"/>
                            <w:kern w:val="2"/>
                            <w:sz w:val="21"/>
                            <w:szCs w:val="21"/>
                            <w:lang w:val="en-US" w:eastAsia="zh-CN" w:bidi="ar-SA"/>
                          </w:rPr>
                        </m:ctrlPr>
                      </m:sub>
                    </m:sSub>
                    <m:r>
                      <m:rPr/>
                      <w:rPr>
                        <w:rFonts w:hint="default" w:ascii="DejaVu Math TeX Gyre" w:hAnsi="DejaVu Math TeX Gyre" w:cstheme="minorBidi"/>
                        <w:color w:val="auto"/>
                        <w:kern w:val="2"/>
                        <w:sz w:val="21"/>
                        <w:szCs w:val="21"/>
                        <w:lang w:val="en-US" w:eastAsia="zh-CN" w:bidi="ar-SA"/>
                      </w:rPr>
                      <m:t>+</m:t>
                    </m:r>
                    <m:sSub>
                      <m:sSubPr>
                        <m:ctrlPr>
                          <w:rPr>
                            <w:rFonts w:hint="default" w:ascii="DejaVu Math TeX Gyre" w:hAnsi="DejaVu Math TeX Gyre" w:cstheme="minorBidi"/>
                            <w:i/>
                            <w:iCs/>
                            <w:color w:val="auto"/>
                            <w:kern w:val="2"/>
                            <w:sz w:val="21"/>
                            <w:szCs w:val="21"/>
                            <w:lang w:val="en-US" w:eastAsia="zh-CN" w:bidi="ar-SA"/>
                          </w:rPr>
                        </m:ctrlPr>
                      </m:sSubPr>
                      <m:e>
                        <m:r>
                          <m:rPr/>
                          <w:rPr>
                            <w:rFonts w:hint="default" w:ascii="DejaVu Math TeX Gyre" w:hAnsi="DejaVu Math TeX Gyre" w:cstheme="minorBidi"/>
                            <w:color w:val="auto"/>
                            <w:kern w:val="2"/>
                            <w:sz w:val="21"/>
                            <w:szCs w:val="21"/>
                            <w:lang w:val="en-US" w:eastAsia="zh-CN" w:bidi="ar-SA"/>
                          </w:rPr>
                          <m:t>DQR</m:t>
                        </m:r>
                        <m:ctrlPr>
                          <w:rPr>
                            <w:rFonts w:hint="default" w:ascii="DejaVu Math TeX Gyre" w:hAnsi="DejaVu Math TeX Gyre" w:cstheme="minorBidi"/>
                            <w:i/>
                            <w:iCs/>
                            <w:color w:val="auto"/>
                            <w:kern w:val="2"/>
                            <w:sz w:val="21"/>
                            <w:szCs w:val="21"/>
                            <w:lang w:val="en-US" w:eastAsia="zh-CN" w:bidi="ar-SA"/>
                          </w:rPr>
                        </m:ctrlPr>
                      </m:e>
                      <m:sub>
                        <m:r>
                          <m:rPr/>
                          <w:rPr>
                            <w:rFonts w:hint="eastAsia" w:ascii="DejaVu Math TeX Gyre" w:hAnsi="DejaVu Math TeX Gyre" w:cstheme="minorBidi"/>
                            <w:color w:val="auto"/>
                            <w:kern w:val="2"/>
                            <w:sz w:val="21"/>
                            <w:szCs w:val="21"/>
                            <w:lang w:val="en-US" w:eastAsia="zh-CN" w:bidi="ar-SA"/>
                          </w:rPr>
                          <m:t>排放因子</m:t>
                        </m:r>
                        <m:r>
                          <m:rPr/>
                          <w:rPr>
                            <w:rFonts w:hint="default" w:ascii="DejaVu Math TeX Gyre" w:hAnsi="DejaVu Math TeX Gyre" w:cstheme="minorBidi"/>
                            <w:color w:val="auto"/>
                            <w:kern w:val="2"/>
                            <w:sz w:val="21"/>
                            <w:szCs w:val="21"/>
                            <w:lang w:val="en-US" w:eastAsia="zh-CN" w:bidi="ar-SA"/>
                          </w:rPr>
                          <m:t>i</m:t>
                        </m:r>
                        <m:ctrlPr>
                          <w:rPr>
                            <w:rFonts w:hint="default" w:ascii="DejaVu Math TeX Gyre" w:hAnsi="DejaVu Math TeX Gyre" w:cstheme="minorBidi"/>
                            <w:i/>
                            <w:iCs/>
                            <w:color w:val="auto"/>
                            <w:kern w:val="2"/>
                            <w:sz w:val="21"/>
                            <w:szCs w:val="21"/>
                            <w:lang w:val="en-US" w:eastAsia="zh-CN" w:bidi="ar-SA"/>
                          </w:rPr>
                        </m:ctrlPr>
                      </m:sub>
                    </m:sSub>
                    <m:ctrlPr>
                      <w:rPr>
                        <w:rFonts w:hint="default" w:ascii="DejaVu Math TeX Gyre" w:hAnsi="DejaVu Math TeX Gyre" w:cstheme="minorBidi"/>
                        <w:i/>
                        <w:iCs/>
                        <w:color w:val="auto"/>
                        <w:kern w:val="2"/>
                        <w:sz w:val="21"/>
                        <w:szCs w:val="21"/>
                        <w:lang w:val="en-US" w:eastAsia="zh-CN" w:bidi="ar-SA"/>
                      </w:rPr>
                    </m:ctrlPr>
                  </m:num>
                  <m:den>
                    <m:r>
                      <m:rPr/>
                      <w:rPr>
                        <w:rFonts w:hint="default" w:ascii="DejaVu Math TeX Gyre" w:hAnsi="DejaVu Math TeX Gyre" w:cstheme="minorBidi"/>
                        <w:color w:val="auto"/>
                        <w:kern w:val="2"/>
                        <w:sz w:val="21"/>
                        <w:szCs w:val="21"/>
                        <w:lang w:val="en-US" w:eastAsia="zh-CN" w:bidi="ar-SA"/>
                      </w:rPr>
                      <m:t>2</m:t>
                    </m:r>
                    <m:ctrlPr>
                      <w:rPr>
                        <w:rFonts w:hint="default" w:ascii="DejaVu Math TeX Gyre" w:hAnsi="DejaVu Math TeX Gyre" w:cstheme="minorBidi"/>
                        <w:i/>
                        <w:iCs/>
                        <w:color w:val="auto"/>
                        <w:kern w:val="2"/>
                        <w:sz w:val="21"/>
                        <w:szCs w:val="21"/>
                        <w:lang w:val="en-US" w:eastAsia="zh-CN" w:bidi="ar-SA"/>
                      </w:rPr>
                    </m:ctrlPr>
                  </m:den>
                </m:f>
                <m:r>
                  <m:rPr/>
                  <w:rPr>
                    <w:rFonts w:ascii="DejaVu Math TeX Gyre" w:hAnsi="DejaVu Math TeX Gyre" w:cstheme="minorBidi"/>
                    <w:color w:val="auto"/>
                    <w:kern w:val="2"/>
                    <w:sz w:val="21"/>
                    <w:szCs w:val="21"/>
                    <w:lang w:val="en-US" w:bidi="ar-SA"/>
                  </w:rPr>
                  <m:t>×</m:t>
                </m:r>
                <m:sSub>
                  <m:sSubPr>
                    <m:ctrlPr>
                      <w:rPr>
                        <w:rFonts w:ascii="DejaVu Math TeX Gyre" w:hAnsi="DejaVu Math TeX Gyre" w:cstheme="minorBidi"/>
                        <w:i/>
                        <w:iCs/>
                        <w:color w:val="auto"/>
                        <w:kern w:val="2"/>
                        <w:sz w:val="21"/>
                        <w:szCs w:val="21"/>
                        <w:lang w:val="en-US" w:bidi="ar-SA"/>
                      </w:rPr>
                    </m:ctrlPr>
                  </m:sSubPr>
                  <m:e>
                    <m:r>
                      <m:rPr/>
                      <w:rPr>
                        <w:rFonts w:hint="eastAsia" w:ascii="DejaVu Math TeX Gyre" w:hAnsi="DejaVu Math TeX Gyre" w:cstheme="minorBidi"/>
                        <w:color w:val="auto"/>
                        <w:kern w:val="2"/>
                        <w:sz w:val="21"/>
                        <w:szCs w:val="21"/>
                        <w:lang w:val="en-US" w:eastAsia="zh-CN" w:bidi="ar-SA"/>
                      </w:rPr>
                      <m:t>碳足迹贡献</m:t>
                    </m:r>
                    <m:ctrlPr>
                      <w:rPr>
                        <w:rFonts w:ascii="DejaVu Math TeX Gyre" w:hAnsi="DejaVu Math TeX Gyre" w:cstheme="minorBidi"/>
                        <w:i/>
                        <w:iCs/>
                        <w:color w:val="auto"/>
                        <w:kern w:val="2"/>
                        <w:sz w:val="21"/>
                        <w:szCs w:val="21"/>
                        <w:lang w:val="en-US" w:bidi="ar-SA"/>
                      </w:rPr>
                    </m:ctrlPr>
                  </m:e>
                  <m:sub>
                    <m:r>
                      <m:rPr/>
                      <w:rPr>
                        <w:rFonts w:hint="default" w:ascii="DejaVu Math TeX Gyre" w:hAnsi="DejaVu Math TeX Gyre" w:cstheme="minorBidi"/>
                        <w:color w:val="auto"/>
                        <w:kern w:val="2"/>
                        <w:sz w:val="21"/>
                        <w:szCs w:val="21"/>
                        <w:lang w:val="en-US" w:eastAsia="zh-CN" w:bidi="ar-SA"/>
                      </w:rPr>
                      <m:t>i</m:t>
                    </m:r>
                    <m:ctrlPr>
                      <w:rPr>
                        <w:rFonts w:ascii="DejaVu Math TeX Gyre" w:hAnsi="DejaVu Math TeX Gyre" w:cstheme="minorBidi"/>
                        <w:i/>
                        <w:iCs/>
                        <w:color w:val="auto"/>
                        <w:kern w:val="2"/>
                        <w:sz w:val="21"/>
                        <w:szCs w:val="21"/>
                        <w:lang w:val="en-US" w:bidi="ar-SA"/>
                      </w:rPr>
                    </m:ctrlPr>
                  </m:sub>
                </m:sSub>
                <m:ctrlPr>
                  <w:rPr>
                    <w:rFonts w:hint="default" w:ascii="DejaVu Math TeX Gyre" w:hAnsi="DejaVu Math TeX Gyre" w:cstheme="minorBidi"/>
                    <w:i/>
                    <w:iCs/>
                    <w:color w:val="auto"/>
                    <w:kern w:val="2"/>
                    <w:sz w:val="21"/>
                    <w:szCs w:val="21"/>
                    <w:lang w:val="en-US" w:eastAsia="zh-CN" w:bidi="ar-SA"/>
                  </w:rPr>
                </m:ctrlPr>
              </m:e>
            </m:d>
            <m:ctrlPr>
              <w:rPr>
                <w:rFonts w:hint="default" w:ascii="DejaVu Math TeX Gyre" w:hAnsi="DejaVu Math TeX Gyre" w:cstheme="minorBidi"/>
                <w:i/>
                <w:iCs/>
                <w:color w:val="auto"/>
                <w:kern w:val="2"/>
                <w:sz w:val="21"/>
                <w:szCs w:val="21"/>
                <w:lang w:val="en-US" w:eastAsia="zh-CN" w:bidi="ar-SA"/>
              </w:rPr>
            </m:ctrlPr>
          </m:e>
        </m:nary>
      </m:oMath>
      <w:r>
        <w:rPr>
          <w:rFonts w:hint="default" w:ascii="Times New Roman" w:hAnsi="Times New Roman" w:eastAsia="仿宋" w:cs="Times New Roman"/>
          <w:color w:val="auto"/>
          <w:kern w:val="2"/>
          <w:sz w:val="28"/>
          <w:szCs w:val="28"/>
          <w:lang w:val="en-US" w:eastAsia="zh-CN" w:bidi="ar-SA"/>
        </w:rPr>
        <w:t xml:space="preserve"> </w:t>
      </w:r>
      <w:r>
        <w:rPr>
          <w:rFonts w:hint="default" w:ascii="Times New Roman" w:hAnsi="Times New Roman" w:eastAsia="仿宋" w:cs="Times New Roman"/>
          <w:color w:val="auto"/>
          <w:kern w:val="2"/>
          <w:sz w:val="24"/>
          <w:szCs w:val="24"/>
          <w:lang w:val="en-US" w:eastAsia="zh-CN" w:bidi="ar-SA"/>
        </w:rPr>
        <w:t xml:space="preserve">        </w:t>
      </w:r>
      <w:r>
        <w:rPr>
          <w:rFonts w:hint="eastAsia" w:hAnsi="Times New Roman" w:eastAsia="仿宋" w:cs="Times New Roman"/>
          <w:color w:val="auto"/>
          <w:kern w:val="2"/>
          <w:sz w:val="24"/>
          <w:szCs w:val="24"/>
          <w:lang w:val="en-US" w:eastAsia="zh-CN" w:bidi="ar-SA"/>
        </w:rPr>
        <w:t>（1）</w:t>
      </w:r>
    </w:p>
    <w:p w14:paraId="3635E345">
      <w:pPr>
        <w:spacing w:line="360" w:lineRule="auto"/>
        <w:ind w:firstLine="560" w:firstLineChars="200"/>
        <w:jc w:val="right"/>
        <w:rPr>
          <w:rFonts w:hint="default" w:ascii="Times New Roman" w:hAnsi="Times New Roman" w:eastAsia="仿宋" w:cs="Times New Roman"/>
          <w:color w:val="auto"/>
          <w:kern w:val="2"/>
          <w:sz w:val="24"/>
          <w:szCs w:val="24"/>
          <w:lang w:val="en-US" w:eastAsia="zh-CN" w:bidi="ar-SA"/>
        </w:rPr>
      </w:pPr>
      <m:oMath>
        <m:sSub>
          <m:sSubPr>
            <m:ctrlPr>
              <w:rPr>
                <w:rFonts w:ascii="DejaVu Math TeX Gyre" w:hAnsi="DejaVu Math TeX Gyre" w:cs="Times New Roman"/>
                <w:i/>
                <w:sz w:val="28"/>
                <w:szCs w:val="28"/>
                <w:lang w:val="en-US"/>
              </w:rPr>
            </m:ctrlPr>
          </m:sSubPr>
          <m:e>
            <m:r>
              <m:rPr/>
              <w:rPr>
                <w:rFonts w:hint="eastAsia" w:ascii="DejaVu Math TeX Gyre" w:hAnsi="DejaVu Math TeX Gyre" w:cs="Times New Roman"/>
                <w:sz w:val="28"/>
                <w:szCs w:val="28"/>
                <w:lang w:val="en-US" w:eastAsia="zh-CN"/>
              </w:rPr>
              <m:t>碳足迹贡献</m:t>
            </m:r>
            <m:ctrlPr>
              <w:rPr>
                <w:rFonts w:ascii="DejaVu Math TeX Gyre" w:hAnsi="DejaVu Math TeX Gyre" w:cs="Times New Roman"/>
                <w:i/>
                <w:sz w:val="28"/>
                <w:szCs w:val="28"/>
                <w:lang w:val="en-US"/>
              </w:rPr>
            </m:ctrlPr>
          </m:e>
          <m:sub>
            <m:r>
              <m:rPr/>
              <w:rPr>
                <w:rFonts w:hint="default" w:ascii="DejaVu Math TeX Gyre" w:hAnsi="DejaVu Math TeX Gyre" w:cs="Times New Roman"/>
                <w:sz w:val="28"/>
                <w:szCs w:val="28"/>
                <w:lang w:val="en-US"/>
              </w:rPr>
              <m:t>i</m:t>
            </m:r>
            <m:ctrlPr>
              <w:rPr>
                <w:rFonts w:ascii="DejaVu Math TeX Gyre" w:hAnsi="DejaVu Math TeX Gyre" w:cs="Times New Roman"/>
                <w:i/>
                <w:sz w:val="28"/>
                <w:szCs w:val="28"/>
                <w:lang w:val="en-US"/>
              </w:rPr>
            </m:ctrlPr>
          </m:sub>
        </m:sSub>
        <m:r>
          <m:rPr/>
          <w:rPr>
            <w:rFonts w:hint="default" w:ascii="DejaVu Math TeX Gyre" w:hAnsi="DejaVu Math TeX Gyre" w:cs="Times New Roman"/>
            <w:sz w:val="28"/>
            <w:szCs w:val="28"/>
            <w:lang w:val="en-US"/>
          </w:rPr>
          <m:t>=</m:t>
        </m:r>
        <m:f>
          <m:fPr>
            <m:ctrlPr>
              <w:rPr>
                <w:rFonts w:hint="default" w:ascii="DejaVu Math TeX Gyre" w:hAnsi="DejaVu Math TeX Gyre" w:cs="Times New Roman"/>
                <w:i/>
                <w:sz w:val="28"/>
                <w:szCs w:val="28"/>
                <w:lang w:val="en-US"/>
              </w:rPr>
            </m:ctrlPr>
          </m:fPr>
          <m:num>
            <m:d>
              <m:dPr>
                <m:begChr m:val="|"/>
                <m:endChr m:val="|"/>
                <m:ctrlPr>
                  <w:rPr>
                    <w:rFonts w:hint="default" w:ascii="DejaVu Math TeX Gyre" w:hAnsi="DejaVu Math TeX Gyre" w:cs="Times New Roman"/>
                    <w:i/>
                    <w:sz w:val="28"/>
                    <w:szCs w:val="28"/>
                    <w:lang w:val="en-US"/>
                  </w:rPr>
                </m:ctrlPr>
              </m:dPr>
              <m:e>
                <m:sSub>
                  <m:sSubPr>
                    <m:ctrlPr>
                      <w:rPr>
                        <w:rFonts w:hint="default" w:ascii="DejaVu Math TeX Gyre" w:hAnsi="DejaVu Math TeX Gyre" w:cs="Times New Roman"/>
                        <w:i/>
                        <w:sz w:val="28"/>
                        <w:szCs w:val="28"/>
                        <w:lang w:val="en-US"/>
                      </w:rPr>
                    </m:ctrlPr>
                  </m:sSubPr>
                  <m:e>
                    <m:r>
                      <m:rPr/>
                      <w:rPr>
                        <w:rFonts w:hint="default" w:ascii="DejaVu Math TeX Gyre" w:hAnsi="DejaVu Math TeX Gyre" w:cs="Times New Roman"/>
                        <w:sz w:val="28"/>
                        <w:szCs w:val="28"/>
                        <w:lang w:val="en-US"/>
                      </w:rPr>
                      <m:t>CFP</m:t>
                    </m:r>
                    <m:ctrlPr>
                      <w:rPr>
                        <w:rFonts w:hint="default" w:ascii="DejaVu Math TeX Gyre" w:hAnsi="DejaVu Math TeX Gyre" w:cs="Times New Roman"/>
                        <w:i/>
                        <w:sz w:val="28"/>
                        <w:szCs w:val="28"/>
                        <w:lang w:val="en-US"/>
                      </w:rPr>
                    </m:ctrlPr>
                  </m:e>
                  <m:sub>
                    <m:r>
                      <m:rPr/>
                      <w:rPr>
                        <w:rFonts w:hint="default" w:ascii="DejaVu Math TeX Gyre" w:hAnsi="DejaVu Math TeX Gyre" w:cs="Times New Roman"/>
                        <w:sz w:val="28"/>
                        <w:szCs w:val="28"/>
                        <w:lang w:val="en-US"/>
                      </w:rPr>
                      <m:t>i</m:t>
                    </m:r>
                    <m:ctrlPr>
                      <w:rPr>
                        <w:rFonts w:hint="default" w:ascii="DejaVu Math TeX Gyre" w:hAnsi="DejaVu Math TeX Gyre" w:cs="Times New Roman"/>
                        <w:i/>
                        <w:sz w:val="28"/>
                        <w:szCs w:val="28"/>
                        <w:lang w:val="en-US"/>
                      </w:rPr>
                    </m:ctrlPr>
                  </m:sub>
                </m:sSub>
                <m:ctrlPr>
                  <w:rPr>
                    <w:rFonts w:hint="default" w:ascii="DejaVu Math TeX Gyre" w:hAnsi="DejaVu Math TeX Gyre" w:cs="Times New Roman"/>
                    <w:i/>
                    <w:sz w:val="28"/>
                    <w:szCs w:val="28"/>
                    <w:lang w:val="en-US"/>
                  </w:rPr>
                </m:ctrlPr>
              </m:e>
            </m:d>
            <m:ctrlPr>
              <w:rPr>
                <w:rFonts w:hint="default" w:ascii="DejaVu Math TeX Gyre" w:hAnsi="DejaVu Math TeX Gyre" w:cs="Times New Roman"/>
                <w:i/>
                <w:sz w:val="28"/>
                <w:szCs w:val="28"/>
                <w:lang w:val="en-US"/>
              </w:rPr>
            </m:ctrlPr>
          </m:num>
          <m:den>
            <m:nary>
              <m:naryPr>
                <m:chr m:val="∑"/>
                <m:limLoc m:val="undOvr"/>
                <m:subHide m:val="1"/>
                <m:supHide m:val="1"/>
                <m:ctrlPr>
                  <w:rPr>
                    <w:rFonts w:hint="default" w:ascii="DejaVu Math TeX Gyre" w:hAnsi="DejaVu Math TeX Gyre" w:cs="Times New Roman"/>
                    <w:i/>
                    <w:sz w:val="28"/>
                    <w:szCs w:val="28"/>
                    <w:lang w:val="en-US"/>
                  </w:rPr>
                </m:ctrlPr>
              </m:naryPr>
              <m:sub>
                <m:ctrlPr>
                  <w:rPr>
                    <w:rFonts w:hint="default" w:ascii="DejaVu Math TeX Gyre" w:hAnsi="DejaVu Math TeX Gyre" w:cs="Times New Roman"/>
                    <w:i/>
                    <w:sz w:val="28"/>
                    <w:szCs w:val="28"/>
                    <w:lang w:val="en-US"/>
                  </w:rPr>
                </m:ctrlPr>
              </m:sub>
              <m:sup>
                <m:ctrlPr>
                  <w:rPr>
                    <w:rFonts w:hint="default" w:ascii="DejaVu Math TeX Gyre" w:hAnsi="DejaVu Math TeX Gyre" w:cs="Times New Roman"/>
                    <w:i/>
                    <w:sz w:val="28"/>
                    <w:szCs w:val="28"/>
                    <w:lang w:val="en-US"/>
                  </w:rPr>
                </m:ctrlPr>
              </m:sup>
              <m:e>
                <m:d>
                  <m:dPr>
                    <m:begChr m:val="|"/>
                    <m:endChr m:val="|"/>
                    <m:ctrlPr>
                      <w:rPr>
                        <w:rFonts w:hint="default" w:ascii="DejaVu Math TeX Gyre" w:hAnsi="DejaVu Math TeX Gyre" w:cs="Times New Roman"/>
                        <w:i/>
                        <w:sz w:val="28"/>
                        <w:szCs w:val="28"/>
                        <w:lang w:val="en-US"/>
                      </w:rPr>
                    </m:ctrlPr>
                  </m:dPr>
                  <m:e>
                    <m:sSub>
                      <m:sSubPr>
                        <m:ctrlPr>
                          <w:rPr>
                            <w:rFonts w:hint="default" w:ascii="DejaVu Math TeX Gyre" w:hAnsi="DejaVu Math TeX Gyre" w:cs="Times New Roman"/>
                            <w:i/>
                            <w:sz w:val="28"/>
                            <w:szCs w:val="28"/>
                            <w:lang w:val="en-US"/>
                          </w:rPr>
                        </m:ctrlPr>
                      </m:sSubPr>
                      <m:e>
                        <m:r>
                          <m:rPr/>
                          <w:rPr>
                            <w:rFonts w:hint="default" w:ascii="DejaVu Math TeX Gyre" w:hAnsi="DejaVu Math TeX Gyre" w:cs="Times New Roman"/>
                            <w:sz w:val="28"/>
                            <w:szCs w:val="28"/>
                            <w:lang w:val="en-US"/>
                          </w:rPr>
                          <m:t>CFP</m:t>
                        </m:r>
                        <m:ctrlPr>
                          <w:rPr>
                            <w:rFonts w:hint="default" w:ascii="DejaVu Math TeX Gyre" w:hAnsi="DejaVu Math TeX Gyre" w:cs="Times New Roman"/>
                            <w:i/>
                            <w:sz w:val="28"/>
                            <w:szCs w:val="28"/>
                            <w:lang w:val="en-US"/>
                          </w:rPr>
                        </m:ctrlPr>
                      </m:e>
                      <m:sub>
                        <m:r>
                          <m:rPr/>
                          <w:rPr>
                            <w:rFonts w:hint="default" w:ascii="DejaVu Math TeX Gyre" w:hAnsi="DejaVu Math TeX Gyre" w:cs="Times New Roman"/>
                            <w:sz w:val="28"/>
                            <w:szCs w:val="28"/>
                            <w:lang w:val="en-US"/>
                          </w:rPr>
                          <m:t>i</m:t>
                        </m:r>
                        <m:ctrlPr>
                          <w:rPr>
                            <w:rFonts w:hint="default" w:ascii="DejaVu Math TeX Gyre" w:hAnsi="DejaVu Math TeX Gyre" w:cs="Times New Roman"/>
                            <w:i/>
                            <w:sz w:val="28"/>
                            <w:szCs w:val="28"/>
                            <w:lang w:val="en-US"/>
                          </w:rPr>
                        </m:ctrlPr>
                      </m:sub>
                    </m:sSub>
                    <m:ctrlPr>
                      <w:rPr>
                        <w:rFonts w:hint="default" w:ascii="DejaVu Math TeX Gyre" w:hAnsi="DejaVu Math TeX Gyre" w:cs="Times New Roman"/>
                        <w:i/>
                        <w:sz w:val="28"/>
                        <w:szCs w:val="28"/>
                        <w:lang w:val="en-US"/>
                      </w:rPr>
                    </m:ctrlPr>
                  </m:e>
                </m:d>
                <m:ctrlPr>
                  <w:rPr>
                    <w:rFonts w:hint="default" w:ascii="DejaVu Math TeX Gyre" w:hAnsi="DejaVu Math TeX Gyre" w:cs="Times New Roman"/>
                    <w:i/>
                    <w:sz w:val="28"/>
                    <w:szCs w:val="28"/>
                    <w:lang w:val="en-US"/>
                  </w:rPr>
                </m:ctrlPr>
              </m:e>
            </m:nary>
            <m:ctrlPr>
              <w:rPr>
                <w:rFonts w:hint="default" w:ascii="DejaVu Math TeX Gyre" w:hAnsi="DejaVu Math TeX Gyre" w:cs="Times New Roman"/>
                <w:i/>
                <w:sz w:val="28"/>
                <w:szCs w:val="28"/>
                <w:lang w:val="en-US"/>
              </w:rPr>
            </m:ctrlPr>
          </m:den>
        </m:f>
      </m:oMath>
      <w:r>
        <w:rPr>
          <w:rFonts w:hint="default" w:ascii="Times New Roman" w:hAnsi="Times New Roman" w:eastAsia="仿宋" w:cs="Times New Roman"/>
          <w:color w:val="auto"/>
          <w:kern w:val="2"/>
          <w:sz w:val="28"/>
          <w:szCs w:val="28"/>
          <w:lang w:val="en-US" w:eastAsia="zh-CN" w:bidi="ar-SA"/>
        </w:rPr>
        <w:t xml:space="preserve">   </w:t>
      </w:r>
      <w:r>
        <w:rPr>
          <w:rFonts w:hint="default" w:ascii="Times New Roman" w:hAnsi="Times New Roman" w:eastAsia="仿宋" w:cs="Times New Roman"/>
          <w:color w:val="auto"/>
          <w:kern w:val="2"/>
          <w:sz w:val="24"/>
          <w:szCs w:val="24"/>
          <w:lang w:val="en-US" w:eastAsia="zh-CN" w:bidi="ar-SA"/>
        </w:rPr>
        <w:t xml:space="preserve">          </w:t>
      </w:r>
      <w:r>
        <w:rPr>
          <w:rFonts w:hint="eastAsia" w:ascii="Times New Roman" w:hAnsi="Times New Roman" w:eastAsia="仿宋" w:cs="Times New Roman"/>
          <w:color w:val="auto"/>
          <w:kern w:val="2"/>
          <w:sz w:val="24"/>
          <w:szCs w:val="24"/>
          <w:lang w:val="en-US" w:eastAsia="zh-CN" w:bidi="ar-SA"/>
        </w:rPr>
        <w:t>（2）</w:t>
      </w:r>
    </w:p>
    <w:p w14:paraId="723D4607">
      <w:pPr>
        <w:spacing w:line="360" w:lineRule="auto"/>
        <w:ind w:firstLine="480" w:firstLineChars="200"/>
        <w:rPr>
          <w:rFonts w:hint="default" w:ascii="Times New Roman Regular" w:hAnsi="Times New Roman Regular" w:eastAsia="宋体" w:cs="Times New Roman Regular"/>
          <w:sz w:val="24"/>
          <w:szCs w:val="24"/>
          <w:lang w:val="en-US" w:eastAsia="zh-CN"/>
        </w:rPr>
      </w:pPr>
      <w:r>
        <w:rPr>
          <w:rFonts w:hint="eastAsia" w:ascii="Times New Roman Regular" w:hAnsi="Times New Roman Regular" w:eastAsia="宋体" w:cs="Times New Roman Regular"/>
          <w:sz w:val="24"/>
          <w:szCs w:val="24"/>
          <w:lang w:val="en-US" w:eastAsia="zh-CN"/>
        </w:rPr>
        <w:t>数据质量分为4级，级数越小表示其数据品质越佳。</w:t>
      </w:r>
    </w:p>
    <w:p w14:paraId="29B45FF8">
      <w:pPr>
        <w:pStyle w:val="12"/>
        <w:spacing w:line="360" w:lineRule="auto"/>
        <w:jc w:val="center"/>
        <w:rPr>
          <w:rFonts w:hint="default" w:ascii="Times New Roman" w:hAnsi="Times New Roman" w:eastAsia="宋体" w:cs="宋体"/>
          <w:i w:val="0"/>
          <w:iCs w:val="0"/>
          <w:color w:val="auto"/>
          <w:sz w:val="21"/>
          <w:lang w:val="en-US" w:eastAsia="zh-CN"/>
        </w:rPr>
      </w:pPr>
      <w:r>
        <w:rPr>
          <w:rFonts w:hint="eastAsia" w:ascii="Times New Roman" w:hAnsi="Times New Roman" w:eastAsia="宋体" w:cs="宋体"/>
          <w:i w:val="0"/>
          <w:iCs w:val="0"/>
          <w:color w:val="auto"/>
          <w:sz w:val="21"/>
          <w:lang w:val="en-US" w:eastAsia="zh-CN"/>
        </w:rPr>
        <w:t>表4-4.6整体数据质量水平</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1663"/>
        <w:gridCol w:w="5044"/>
      </w:tblGrid>
      <w:tr w14:paraId="6E09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5" w:type="dxa"/>
            <w:vAlign w:val="center"/>
          </w:tcPr>
          <w:p w14:paraId="6AFBFC06">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DQR</w:t>
            </w:r>
            <w:r>
              <w:rPr>
                <w:rFonts w:hint="eastAsia" w:ascii="Times New Roman Regular" w:hAnsi="Times New Roman Regular" w:eastAsia="宋体" w:cs="Times New Roman Regular"/>
                <w:sz w:val="21"/>
                <w:szCs w:val="21"/>
                <w:vertAlign w:val="baseline"/>
                <w:lang w:val="en-US" w:eastAsia="zh-CN"/>
              </w:rPr>
              <w:t>范围</w:t>
            </w:r>
          </w:p>
        </w:tc>
        <w:tc>
          <w:tcPr>
            <w:tcW w:w="1663" w:type="dxa"/>
            <w:vAlign w:val="center"/>
          </w:tcPr>
          <w:p w14:paraId="2C9BA584">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质量等级</w:t>
            </w:r>
          </w:p>
        </w:tc>
        <w:tc>
          <w:tcPr>
            <w:tcW w:w="5044" w:type="dxa"/>
            <w:vAlign w:val="center"/>
          </w:tcPr>
          <w:p w14:paraId="40F4B5D7">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说明</w:t>
            </w:r>
          </w:p>
        </w:tc>
      </w:tr>
      <w:tr w14:paraId="298B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5" w:type="dxa"/>
            <w:vAlign w:val="center"/>
          </w:tcPr>
          <w:p w14:paraId="3AAD9E5F">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DQR≤</w:t>
            </w:r>
            <w:r>
              <w:rPr>
                <w:rFonts w:hint="eastAsia" w:ascii="Times New Roman Regular" w:hAnsi="Times New Roman Regular" w:eastAsia="宋体" w:cs="Times New Roman Regular"/>
                <w:sz w:val="21"/>
                <w:szCs w:val="21"/>
                <w:vertAlign w:val="baseline"/>
                <w:lang w:val="en-US" w:eastAsia="zh-CN"/>
              </w:rPr>
              <w:t>1.5</w:t>
            </w:r>
          </w:p>
        </w:tc>
        <w:tc>
          <w:tcPr>
            <w:tcW w:w="1663" w:type="dxa"/>
            <w:vAlign w:val="center"/>
          </w:tcPr>
          <w:p w14:paraId="0987B73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优秀</w:t>
            </w:r>
          </w:p>
        </w:tc>
        <w:tc>
          <w:tcPr>
            <w:tcW w:w="5044" w:type="dxa"/>
            <w:vAlign w:val="center"/>
          </w:tcPr>
          <w:p w14:paraId="17528DC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可直接使用，无需改进</w:t>
            </w:r>
          </w:p>
        </w:tc>
      </w:tr>
      <w:tr w14:paraId="2303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5" w:type="dxa"/>
            <w:vAlign w:val="center"/>
          </w:tcPr>
          <w:p w14:paraId="43E093E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1.5</w:t>
            </w:r>
            <w:r>
              <w:rPr>
                <w:rFonts w:hint="default" w:ascii="Times New Roman Regular" w:hAnsi="Times New Roman Regular" w:eastAsia="宋体" w:cs="Times New Roman Regular"/>
                <w:sz w:val="21"/>
                <w:szCs w:val="21"/>
                <w:vertAlign w:val="baseline"/>
                <w:lang w:val="en-US" w:eastAsia="zh-CN"/>
              </w:rPr>
              <w:t>&lt;DQR≤2</w:t>
            </w:r>
            <w:r>
              <w:rPr>
                <w:rFonts w:hint="eastAsia" w:ascii="Times New Roman Regular" w:hAnsi="Times New Roman Regular" w:eastAsia="宋体" w:cs="Times New Roman Regular"/>
                <w:sz w:val="21"/>
                <w:szCs w:val="21"/>
                <w:vertAlign w:val="baseline"/>
                <w:lang w:val="en-US" w:eastAsia="zh-CN"/>
              </w:rPr>
              <w:t>.5</w:t>
            </w:r>
          </w:p>
        </w:tc>
        <w:tc>
          <w:tcPr>
            <w:tcW w:w="1663" w:type="dxa"/>
            <w:vAlign w:val="center"/>
          </w:tcPr>
          <w:p w14:paraId="2316DCB6">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良好</w:t>
            </w:r>
          </w:p>
        </w:tc>
        <w:tc>
          <w:tcPr>
            <w:tcW w:w="5044" w:type="dxa"/>
            <w:vAlign w:val="center"/>
          </w:tcPr>
          <w:p w14:paraId="1F4150A4">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需优化次要数据（如补充缺失环节）</w:t>
            </w:r>
          </w:p>
        </w:tc>
      </w:tr>
      <w:tr w14:paraId="6711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5" w:type="dxa"/>
            <w:vAlign w:val="center"/>
          </w:tcPr>
          <w:p w14:paraId="61EDE12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2.5&lt;DQR≤3</w:t>
            </w:r>
            <w:r>
              <w:rPr>
                <w:rFonts w:hint="eastAsia" w:ascii="Times New Roman Regular" w:hAnsi="Times New Roman Regular" w:eastAsia="宋体" w:cs="Times New Roman Regular"/>
                <w:sz w:val="21"/>
                <w:szCs w:val="21"/>
                <w:vertAlign w:val="baseline"/>
                <w:lang w:val="en-US" w:eastAsia="zh-CN"/>
              </w:rPr>
              <w:t>.5</w:t>
            </w:r>
          </w:p>
        </w:tc>
        <w:tc>
          <w:tcPr>
            <w:tcW w:w="1663" w:type="dxa"/>
            <w:vAlign w:val="center"/>
          </w:tcPr>
          <w:p w14:paraId="0E40A84F">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一般</w:t>
            </w:r>
          </w:p>
        </w:tc>
        <w:tc>
          <w:tcPr>
            <w:tcW w:w="5044" w:type="dxa"/>
            <w:vAlign w:val="center"/>
          </w:tcPr>
          <w:p w14:paraId="1DE8D484">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需改进关键数据（如替换低可靠性数据）</w:t>
            </w:r>
          </w:p>
        </w:tc>
      </w:tr>
      <w:tr w14:paraId="6D04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5" w:type="dxa"/>
            <w:vAlign w:val="center"/>
          </w:tcPr>
          <w:p w14:paraId="2C92904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default" w:ascii="Times New Roman Regular" w:hAnsi="Times New Roman Regular" w:eastAsia="宋体" w:cs="Times New Roman Regular"/>
                <w:sz w:val="21"/>
                <w:szCs w:val="21"/>
                <w:vertAlign w:val="baseline"/>
                <w:lang w:val="en-US" w:eastAsia="zh-CN"/>
              </w:rPr>
              <w:t>DQR&gt;3</w:t>
            </w:r>
            <w:r>
              <w:rPr>
                <w:rFonts w:hint="eastAsia" w:ascii="Times New Roman Regular" w:hAnsi="Times New Roman Regular" w:eastAsia="宋体" w:cs="Times New Roman Regular"/>
                <w:sz w:val="21"/>
                <w:szCs w:val="21"/>
                <w:vertAlign w:val="baseline"/>
                <w:lang w:val="en-US" w:eastAsia="zh-CN"/>
              </w:rPr>
              <w:t>.5</w:t>
            </w:r>
          </w:p>
        </w:tc>
        <w:tc>
          <w:tcPr>
            <w:tcW w:w="1663" w:type="dxa"/>
            <w:vAlign w:val="center"/>
          </w:tcPr>
          <w:p w14:paraId="74000BFB">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差</w:t>
            </w:r>
          </w:p>
        </w:tc>
        <w:tc>
          <w:tcPr>
            <w:tcW w:w="5044" w:type="dxa"/>
            <w:vAlign w:val="center"/>
          </w:tcPr>
          <w:p w14:paraId="4307710D">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0" w:firstLineChars="0"/>
              <w:jc w:val="center"/>
              <w:textAlignment w:val="auto"/>
              <w:rPr>
                <w:rFonts w:hint="default" w:ascii="Times New Roman Regular" w:hAnsi="Times New Roman Regular" w:eastAsia="宋体" w:cs="Times New Roman Regular"/>
                <w:sz w:val="21"/>
                <w:szCs w:val="21"/>
                <w:vertAlign w:val="baseline"/>
                <w:lang w:val="en-US" w:eastAsia="zh-CN"/>
              </w:rPr>
            </w:pPr>
            <w:r>
              <w:rPr>
                <w:rFonts w:hint="eastAsia" w:ascii="Times New Roman Regular" w:hAnsi="Times New Roman Regular" w:eastAsia="宋体" w:cs="Times New Roman Regular"/>
                <w:sz w:val="21"/>
                <w:szCs w:val="21"/>
                <w:vertAlign w:val="baseline"/>
                <w:lang w:val="en-US" w:eastAsia="zh-CN"/>
              </w:rPr>
              <w:t>数据不可靠，需重新收集或验证</w:t>
            </w:r>
          </w:p>
        </w:tc>
      </w:tr>
    </w:tbl>
    <w:p w14:paraId="1AC37047">
      <w:pPr>
        <w:spacing w:line="360" w:lineRule="auto"/>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本次研究显示，排放源数据不确定性评估结果为</w:t>
      </w:r>
      <w:r>
        <w:rPr>
          <w:rFonts w:hint="default" w:ascii="Times New Roman" w:hAnsi="Times New Roman" w:eastAsia="仿宋" w:cs="Times New Roman"/>
          <w:sz w:val="28"/>
          <w:szCs w:val="28"/>
          <w:highlight w:val="none"/>
          <w:lang w:val="en-US" w:eastAsia="zh-CN"/>
        </w:rPr>
        <w:t>1.64</w:t>
      </w:r>
      <w:r>
        <w:rPr>
          <w:rFonts w:hint="eastAsia" w:ascii="Times New Roman" w:hAnsi="Times New Roman" w:eastAsia="仿宋" w:cs="Times New Roman"/>
          <w:sz w:val="28"/>
          <w:szCs w:val="28"/>
          <w:lang w:val="en-US" w:eastAsia="zh-CN"/>
        </w:rPr>
        <w:t>分，属于良好数据品质，具体计算如下表4-4.7：</w:t>
      </w:r>
    </w:p>
    <w:p w14:paraId="5DC1CFC8">
      <w:pPr>
        <w:pStyle w:val="16"/>
        <w:rPr>
          <w:rFonts w:hint="eastAsia" w:ascii="Times New Roman" w:hAnsi="Times New Roman" w:eastAsia="仿宋"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5CE406F6">
      <w:pPr>
        <w:pStyle w:val="12"/>
        <w:spacing w:line="360" w:lineRule="auto"/>
        <w:jc w:val="center"/>
        <w:rPr>
          <w:rFonts w:hint="eastAsia" w:ascii="Times New Roman" w:hAnsi="Times New Roman" w:eastAsia="宋体" w:cs="宋体"/>
          <w:i w:val="0"/>
          <w:iCs w:val="0"/>
          <w:color w:val="auto"/>
          <w:sz w:val="21"/>
          <w:lang w:val="en-US" w:eastAsia="zh-CN"/>
        </w:rPr>
      </w:pPr>
      <w:r>
        <w:rPr>
          <w:rFonts w:hint="eastAsia" w:ascii="Times New Roman" w:hAnsi="Times New Roman" w:eastAsia="宋体" w:cs="宋体"/>
          <w:i w:val="0"/>
          <w:iCs w:val="0"/>
          <w:color w:val="auto"/>
          <w:sz w:val="21"/>
          <w:lang w:val="en-US" w:eastAsia="zh-CN"/>
        </w:rPr>
        <w:t>表4-4.7整体数据质量水平</w:t>
      </w:r>
    </w:p>
    <w:tbl>
      <w:tblPr>
        <w:tblStyle w:val="3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4"/>
        <w:gridCol w:w="1108"/>
        <w:gridCol w:w="864"/>
        <w:gridCol w:w="808"/>
        <w:gridCol w:w="805"/>
        <w:gridCol w:w="808"/>
        <w:gridCol w:w="794"/>
        <w:gridCol w:w="816"/>
        <w:gridCol w:w="819"/>
        <w:gridCol w:w="813"/>
        <w:gridCol w:w="808"/>
        <w:gridCol w:w="811"/>
        <w:gridCol w:w="794"/>
        <w:gridCol w:w="813"/>
        <w:gridCol w:w="819"/>
        <w:gridCol w:w="1069"/>
      </w:tblGrid>
      <w:tr w14:paraId="4E872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177EAF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清单名称</w:t>
            </w:r>
          </w:p>
        </w:tc>
        <w:tc>
          <w:tcPr>
            <w:tcW w:w="391" w:type="pct"/>
            <w:tcBorders>
              <w:top w:val="single" w:color="000000" w:sz="8" w:space="0"/>
              <w:left w:val="single" w:color="000000" w:sz="8" w:space="0"/>
              <w:bottom w:val="nil"/>
              <w:right w:val="single" w:color="000000" w:sz="8" w:space="0"/>
            </w:tcBorders>
            <w:shd w:val="clear" w:color="auto" w:fill="auto"/>
            <w:vAlign w:val="center"/>
          </w:tcPr>
          <w:p w14:paraId="65BBE50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碳足迹</w:t>
            </w:r>
          </w:p>
        </w:tc>
        <w:tc>
          <w:tcPr>
            <w:tcW w:w="30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DDE0B1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贡献</w:t>
            </w:r>
          </w:p>
        </w:tc>
        <w:tc>
          <w:tcPr>
            <w:tcW w:w="1422"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515FF64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活动数据</w:t>
            </w:r>
          </w:p>
        </w:tc>
        <w:tc>
          <w:tcPr>
            <w:tcW w:w="28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646717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活动数据</w:t>
            </w:r>
            <w:r>
              <w:rPr>
                <w:rStyle w:val="55"/>
                <w:rFonts w:hint="default" w:ascii="Times New Roman Regular" w:hAnsi="Times New Roman Regular" w:eastAsia="宋体" w:cs="Times New Roman Regular"/>
                <w:sz w:val="21"/>
                <w:szCs w:val="21"/>
                <w:lang w:val="en-US" w:eastAsia="zh-CN" w:bidi="ar"/>
              </w:rPr>
              <w:t>DQR</w:t>
            </w:r>
          </w:p>
        </w:tc>
        <w:tc>
          <w:tcPr>
            <w:tcW w:w="1425"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3B55E89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排放因子</w:t>
            </w:r>
          </w:p>
        </w:tc>
        <w:tc>
          <w:tcPr>
            <w:tcW w:w="28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E4D56C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排放因子</w:t>
            </w:r>
            <w:r>
              <w:rPr>
                <w:rStyle w:val="55"/>
                <w:rFonts w:hint="default" w:ascii="Times New Roman Regular" w:hAnsi="Times New Roman Regular" w:eastAsia="宋体" w:cs="Times New Roman Regular"/>
                <w:sz w:val="21"/>
                <w:szCs w:val="21"/>
                <w:lang w:val="en-US" w:eastAsia="zh-CN" w:bidi="ar"/>
              </w:rPr>
              <w:t>DQR</w:t>
            </w:r>
          </w:p>
        </w:tc>
        <w:tc>
          <w:tcPr>
            <w:tcW w:w="37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49D3D1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整体</w:t>
            </w:r>
            <w:r>
              <w:rPr>
                <w:rStyle w:val="55"/>
                <w:rFonts w:hint="default" w:ascii="Times New Roman Regular" w:hAnsi="Times New Roman Regular" w:eastAsia="宋体" w:cs="Times New Roman Regular"/>
                <w:sz w:val="21"/>
                <w:szCs w:val="21"/>
                <w:lang w:val="en-US" w:eastAsia="zh-CN" w:bidi="ar"/>
              </w:rPr>
              <w:t>DQR</w:t>
            </w:r>
          </w:p>
        </w:tc>
      </w:tr>
      <w:tr w14:paraId="07AA0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9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3318CA4">
            <w:pPr>
              <w:keepNext w:val="0"/>
              <w:keepLines w:val="0"/>
              <w:pageBreakBefore w:val="0"/>
              <w:widowControl/>
              <w:kinsoku/>
              <w:wordWrap/>
              <w:overflowPunct/>
              <w:topLinePunct w:val="0"/>
              <w:autoSpaceDE/>
              <w:autoSpaceDN/>
              <w:bidi w:val="0"/>
              <w:adjustRightInd/>
              <w:snapToGrid/>
              <w:jc w:val="center"/>
              <w:rPr>
                <w:rFonts w:hint="default" w:ascii="Times New Roman Regular" w:hAnsi="Times New Roman Regular" w:eastAsia="宋体" w:cs="Times New Roman Regular"/>
                <w:i w:val="0"/>
                <w:iCs w:val="0"/>
                <w:color w:val="000000"/>
                <w:sz w:val="21"/>
                <w:szCs w:val="21"/>
                <w:u w:val="none"/>
              </w:rPr>
            </w:pPr>
          </w:p>
        </w:tc>
        <w:tc>
          <w:tcPr>
            <w:tcW w:w="391" w:type="pct"/>
            <w:tcBorders>
              <w:top w:val="nil"/>
              <w:left w:val="single" w:color="000000" w:sz="8" w:space="0"/>
              <w:bottom w:val="single" w:color="000000" w:sz="8" w:space="0"/>
              <w:right w:val="single" w:color="000000" w:sz="8" w:space="0"/>
            </w:tcBorders>
            <w:shd w:val="clear" w:color="auto" w:fill="auto"/>
            <w:vAlign w:val="center"/>
          </w:tcPr>
          <w:p w14:paraId="5C0479F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kg</w:t>
            </w:r>
            <w:r>
              <w:rPr>
                <w:rStyle w:val="55"/>
                <w:rFonts w:hint="default" w:ascii="Times New Roman Regular" w:hAnsi="Times New Roman Regular" w:eastAsia="宋体" w:cs="Times New Roman Regular"/>
                <w:sz w:val="21"/>
                <w:szCs w:val="21"/>
                <w:lang w:val="en-US" w:eastAsia="zh-CN" w:bidi="ar"/>
              </w:rPr>
              <w:t>CO</w:t>
            </w:r>
            <w:r>
              <w:rPr>
                <w:rStyle w:val="56"/>
                <w:rFonts w:hint="default" w:ascii="Times New Roman Regular" w:hAnsi="Times New Roman Regular" w:eastAsia="宋体" w:cs="Times New Roman Regular"/>
                <w:sz w:val="21"/>
                <w:szCs w:val="21"/>
                <w:lang w:val="en-US" w:eastAsia="zh-CN" w:bidi="ar"/>
              </w:rPr>
              <w:t>2</w:t>
            </w:r>
            <w:r>
              <w:rPr>
                <w:rStyle w:val="55"/>
                <w:rFonts w:hint="default" w:ascii="Times New Roman Regular" w:hAnsi="Times New Roman Regular" w:eastAsia="宋体" w:cs="Times New Roman Regular"/>
                <w:sz w:val="21"/>
                <w:szCs w:val="21"/>
                <w:lang w:val="en-US" w:eastAsia="zh-CN" w:bidi="ar"/>
              </w:rPr>
              <w:t>e/</w:t>
            </w:r>
            <w:r>
              <w:rPr>
                <w:rStyle w:val="57"/>
                <w:rFonts w:hint="default" w:ascii="Times New Roman Regular" w:hAnsi="Times New Roman Regular" w:eastAsia="宋体" w:cs="Times New Roman Regular"/>
                <w:sz w:val="21"/>
                <w:szCs w:val="21"/>
                <w:lang w:val="en-US" w:eastAsia="zh-CN" w:bidi="ar"/>
              </w:rPr>
              <w:t>声明单位</w:t>
            </w:r>
          </w:p>
        </w:tc>
        <w:tc>
          <w:tcPr>
            <w:tcW w:w="30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4837029">
            <w:pPr>
              <w:keepNext w:val="0"/>
              <w:keepLines w:val="0"/>
              <w:pageBreakBefore w:val="0"/>
              <w:widowControl/>
              <w:kinsoku/>
              <w:wordWrap/>
              <w:overflowPunct/>
              <w:topLinePunct w:val="0"/>
              <w:autoSpaceDE/>
              <w:autoSpaceDN/>
              <w:bidi w:val="0"/>
              <w:adjustRightInd/>
              <w:snapToGrid/>
              <w:jc w:val="center"/>
              <w:rPr>
                <w:rFonts w:hint="default" w:ascii="Times New Roman Regular" w:hAnsi="Times New Roman Regular" w:eastAsia="宋体" w:cs="Times New Roman Regular"/>
                <w:i w:val="0"/>
                <w:iCs w:val="0"/>
                <w:color w:val="000000"/>
                <w:sz w:val="21"/>
                <w:szCs w:val="21"/>
                <w:u w:val="none"/>
              </w:rPr>
            </w:pPr>
          </w:p>
        </w:tc>
        <w:tc>
          <w:tcPr>
            <w:tcW w:w="285" w:type="pct"/>
            <w:tcBorders>
              <w:top w:val="nil"/>
              <w:left w:val="single" w:color="000000" w:sz="8" w:space="0"/>
              <w:bottom w:val="single" w:color="000000" w:sz="8" w:space="0"/>
              <w:right w:val="single" w:color="000000" w:sz="8" w:space="0"/>
            </w:tcBorders>
            <w:shd w:val="clear" w:color="auto" w:fill="auto"/>
            <w:vAlign w:val="center"/>
          </w:tcPr>
          <w:p w14:paraId="3514337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T</w:t>
            </w:r>
            <w:r>
              <w:rPr>
                <w:rStyle w:val="55"/>
                <w:rFonts w:hint="default" w:ascii="Times New Roman Regular" w:hAnsi="Times New Roman Regular" w:eastAsia="宋体" w:cs="Times New Roman Regular"/>
                <w:sz w:val="21"/>
                <w:szCs w:val="21"/>
                <w:lang w:val="en-US" w:eastAsia="zh-CN" w:bidi="ar"/>
              </w:rPr>
              <w:t>eR</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6F7B7AD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GR</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687B26F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TiR</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2734E33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C</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4A40B7E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R</w:t>
            </w:r>
          </w:p>
        </w:tc>
        <w:tc>
          <w:tcPr>
            <w:tcW w:w="28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3323569">
            <w:pPr>
              <w:keepNext w:val="0"/>
              <w:keepLines w:val="0"/>
              <w:pageBreakBefore w:val="0"/>
              <w:widowControl/>
              <w:kinsoku/>
              <w:wordWrap/>
              <w:overflowPunct/>
              <w:topLinePunct w:val="0"/>
              <w:autoSpaceDE/>
              <w:autoSpaceDN/>
              <w:bidi w:val="0"/>
              <w:adjustRightInd/>
              <w:snapToGrid/>
              <w:jc w:val="center"/>
              <w:rPr>
                <w:rFonts w:hint="default" w:ascii="Times New Roman Regular" w:hAnsi="Times New Roman Regular" w:eastAsia="宋体" w:cs="Times New Roman Regular"/>
                <w:i w:val="0"/>
                <w:iCs w:val="0"/>
                <w:color w:val="000000"/>
                <w:sz w:val="21"/>
                <w:szCs w:val="21"/>
                <w:u w:val="none"/>
              </w:rPr>
            </w:pPr>
          </w:p>
        </w:tc>
        <w:tc>
          <w:tcPr>
            <w:tcW w:w="28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6B18C0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T</w:t>
            </w:r>
            <w:r>
              <w:rPr>
                <w:rStyle w:val="55"/>
                <w:rFonts w:hint="default" w:ascii="Times New Roman Regular" w:hAnsi="Times New Roman Regular" w:eastAsia="宋体" w:cs="Times New Roman Regular"/>
                <w:sz w:val="21"/>
                <w:szCs w:val="21"/>
                <w:lang w:val="en-US" w:eastAsia="zh-CN" w:bidi="ar"/>
              </w:rPr>
              <w:t>eR</w:t>
            </w:r>
          </w:p>
        </w:tc>
        <w:tc>
          <w:tcPr>
            <w:tcW w:w="28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B49C6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GR</w:t>
            </w:r>
          </w:p>
        </w:tc>
        <w:tc>
          <w:tcPr>
            <w:tcW w:w="28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60ED5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TiR</w:t>
            </w:r>
          </w:p>
        </w:tc>
        <w:tc>
          <w:tcPr>
            <w:tcW w:w="28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9D413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C</w:t>
            </w:r>
          </w:p>
        </w:tc>
        <w:tc>
          <w:tcPr>
            <w:tcW w:w="28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837FA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R</w:t>
            </w:r>
          </w:p>
        </w:tc>
        <w:tc>
          <w:tcPr>
            <w:tcW w:w="28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4501A29">
            <w:pPr>
              <w:keepNext w:val="0"/>
              <w:keepLines w:val="0"/>
              <w:pageBreakBefore w:val="0"/>
              <w:widowControl/>
              <w:kinsoku/>
              <w:wordWrap/>
              <w:overflowPunct/>
              <w:topLinePunct w:val="0"/>
              <w:autoSpaceDE/>
              <w:autoSpaceDN/>
              <w:bidi w:val="0"/>
              <w:adjustRightInd/>
              <w:snapToGrid/>
              <w:jc w:val="center"/>
              <w:rPr>
                <w:rFonts w:hint="default" w:ascii="Times New Roman Regular" w:hAnsi="Times New Roman Regular" w:eastAsia="宋体" w:cs="Times New Roman Regular"/>
                <w:i w:val="0"/>
                <w:iCs w:val="0"/>
                <w:color w:val="000000"/>
                <w:sz w:val="21"/>
                <w:szCs w:val="21"/>
                <w:u w:val="none"/>
              </w:rPr>
            </w:pPr>
          </w:p>
        </w:tc>
        <w:tc>
          <w:tcPr>
            <w:tcW w:w="37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2071ABA">
            <w:pPr>
              <w:keepNext w:val="0"/>
              <w:keepLines w:val="0"/>
              <w:pageBreakBefore w:val="0"/>
              <w:widowControl/>
              <w:kinsoku/>
              <w:wordWrap/>
              <w:overflowPunct/>
              <w:topLinePunct w:val="0"/>
              <w:autoSpaceDE/>
              <w:autoSpaceDN/>
              <w:bidi w:val="0"/>
              <w:adjustRightInd/>
              <w:snapToGrid/>
              <w:jc w:val="center"/>
              <w:rPr>
                <w:rFonts w:hint="default" w:ascii="Times New Roman Regular" w:hAnsi="Times New Roman Regular" w:eastAsia="宋体" w:cs="Times New Roman Regular"/>
                <w:i w:val="0"/>
                <w:iCs w:val="0"/>
                <w:color w:val="000000"/>
                <w:sz w:val="21"/>
                <w:szCs w:val="21"/>
                <w:u w:val="none"/>
              </w:rPr>
            </w:pPr>
          </w:p>
        </w:tc>
      </w:tr>
      <w:tr w14:paraId="4818D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1C609C6A">
            <w:pPr>
              <w:keepNext w:val="0"/>
              <w:keepLines w:val="0"/>
              <w:widowControl/>
              <w:suppressLineNumbers w:val="0"/>
              <w:jc w:val="center"/>
              <w:textAlignment w:val="center"/>
              <w:rPr>
                <w:rFonts w:hint="eastAsia" w:ascii="Times New Roman Regular" w:hAnsi="Times New Roman Regular" w:eastAsia="宋体" w:cs="Times New Roman Regular"/>
                <w:i w:val="0"/>
                <w:iCs w:val="0"/>
                <w:color w:val="000000"/>
                <w:sz w:val="21"/>
                <w:szCs w:val="21"/>
                <w:u w:val="none"/>
                <w:lang w:val="en-US" w:eastAsia="zh-CN"/>
              </w:rPr>
            </w:pPr>
            <w:r>
              <w:rPr>
                <w:rFonts w:hint="eastAsia" w:ascii="Times New Roman Regular" w:hAnsi="Times New Roman Regular" w:eastAsia="宋体" w:cs="Times New Roman Regular"/>
                <w:i w:val="0"/>
                <w:iCs w:val="0"/>
                <w:color w:val="000000"/>
                <w:sz w:val="21"/>
                <w:szCs w:val="21"/>
                <w:u w:val="none"/>
                <w:lang w:val="en-US" w:eastAsia="zh-CN"/>
              </w:rPr>
              <w:t>树脂</w:t>
            </w:r>
          </w:p>
        </w:tc>
        <w:tc>
          <w:tcPr>
            <w:tcW w:w="1109" w:type="dxa"/>
            <w:tcBorders>
              <w:top w:val="nil"/>
              <w:left w:val="single" w:color="000000" w:sz="8" w:space="0"/>
              <w:bottom w:val="single" w:color="000000" w:sz="8" w:space="0"/>
              <w:right w:val="single" w:color="000000" w:sz="8" w:space="0"/>
            </w:tcBorders>
            <w:shd w:val="clear" w:color="auto" w:fill="auto"/>
            <w:vAlign w:val="bottom"/>
          </w:tcPr>
          <w:p w14:paraId="1456532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903.1222</w:t>
            </w:r>
          </w:p>
        </w:tc>
        <w:tc>
          <w:tcPr>
            <w:tcW w:w="864" w:type="dxa"/>
            <w:tcBorders>
              <w:top w:val="nil"/>
              <w:left w:val="single" w:color="000000" w:sz="8" w:space="0"/>
              <w:bottom w:val="single" w:color="000000" w:sz="8" w:space="0"/>
              <w:right w:val="single" w:color="000000" w:sz="8" w:space="0"/>
            </w:tcBorders>
            <w:shd w:val="clear" w:color="auto" w:fill="auto"/>
            <w:vAlign w:val="bottom"/>
          </w:tcPr>
          <w:p w14:paraId="436C4B7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86.23%</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6C535A9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307B5D4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3D72F24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1037315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240BBB5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67A52B9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1.2</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2B84271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3D89024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4</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7EAEEDB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6DD38BC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1DEA04D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819" w:type="dxa"/>
            <w:tcBorders>
              <w:top w:val="nil"/>
              <w:left w:val="single" w:color="000000" w:sz="8" w:space="0"/>
              <w:bottom w:val="single" w:color="000000" w:sz="8" w:space="0"/>
              <w:right w:val="single" w:color="000000" w:sz="8" w:space="0"/>
            </w:tcBorders>
            <w:shd w:val="clear" w:color="auto" w:fill="auto"/>
            <w:vAlign w:val="bottom"/>
          </w:tcPr>
          <w:p w14:paraId="6096F70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1.6</w:t>
            </w:r>
          </w:p>
        </w:tc>
        <w:tc>
          <w:tcPr>
            <w:tcW w:w="1069" w:type="dxa"/>
            <w:tcBorders>
              <w:top w:val="nil"/>
              <w:left w:val="single" w:color="000000" w:sz="8" w:space="0"/>
              <w:bottom w:val="single" w:color="000000" w:sz="8" w:space="0"/>
              <w:right w:val="single" w:color="000000" w:sz="8" w:space="0"/>
            </w:tcBorders>
            <w:shd w:val="clear" w:color="auto" w:fill="auto"/>
            <w:vAlign w:val="bottom"/>
          </w:tcPr>
          <w:p w14:paraId="2C0DEE1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1.3798 </w:t>
            </w:r>
          </w:p>
        </w:tc>
      </w:tr>
      <w:tr w14:paraId="5ECB2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48BD4210">
            <w:pPr>
              <w:keepNext w:val="0"/>
              <w:keepLines w:val="0"/>
              <w:widowControl/>
              <w:suppressLineNumbers w:val="0"/>
              <w:jc w:val="center"/>
              <w:textAlignment w:val="center"/>
              <w:rPr>
                <w:rFonts w:hint="eastAsia" w:ascii="Times New Roman Regular" w:hAnsi="Times New Roman Regular" w:eastAsia="宋体" w:cs="Times New Roman Regular"/>
                <w:i w:val="0"/>
                <w:iCs w:val="0"/>
                <w:color w:val="000000"/>
                <w:sz w:val="21"/>
                <w:szCs w:val="21"/>
                <w:u w:val="none"/>
                <w:lang w:val="en-US" w:eastAsia="zh-CN"/>
              </w:rPr>
            </w:pPr>
            <w:r>
              <w:rPr>
                <w:rFonts w:hint="eastAsia" w:ascii="Times New Roman Regular" w:hAnsi="Times New Roman Regular" w:eastAsia="宋体" w:cs="Times New Roman Regular"/>
                <w:i w:val="0"/>
                <w:iCs w:val="0"/>
                <w:color w:val="000000"/>
                <w:sz w:val="21"/>
                <w:szCs w:val="21"/>
                <w:u w:val="none"/>
                <w:lang w:val="en-US" w:eastAsia="zh-CN"/>
              </w:rPr>
              <w:t>石粉</w:t>
            </w:r>
          </w:p>
        </w:tc>
        <w:tc>
          <w:tcPr>
            <w:tcW w:w="1109" w:type="dxa"/>
            <w:tcBorders>
              <w:top w:val="nil"/>
              <w:left w:val="single" w:color="000000" w:sz="8" w:space="0"/>
              <w:bottom w:val="single" w:color="000000" w:sz="8" w:space="0"/>
              <w:right w:val="single" w:color="000000" w:sz="8" w:space="0"/>
            </w:tcBorders>
            <w:shd w:val="clear" w:color="auto" w:fill="auto"/>
            <w:vAlign w:val="bottom"/>
          </w:tcPr>
          <w:p w14:paraId="61A4480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52.2596</w:t>
            </w:r>
          </w:p>
        </w:tc>
        <w:tc>
          <w:tcPr>
            <w:tcW w:w="864" w:type="dxa"/>
            <w:tcBorders>
              <w:top w:val="nil"/>
              <w:left w:val="single" w:color="000000" w:sz="8" w:space="0"/>
              <w:bottom w:val="single" w:color="000000" w:sz="8" w:space="0"/>
              <w:right w:val="single" w:color="000000" w:sz="8" w:space="0"/>
            </w:tcBorders>
            <w:shd w:val="clear" w:color="auto" w:fill="auto"/>
            <w:vAlign w:val="bottom"/>
          </w:tcPr>
          <w:p w14:paraId="27E9C49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4.99%</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6865BC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719E8D2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EBDE77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6F15930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2F6D573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650E25C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1.2</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59C0E31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76CFB94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4</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1390064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4894E32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7D07BC5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819" w:type="dxa"/>
            <w:tcBorders>
              <w:top w:val="nil"/>
              <w:left w:val="single" w:color="000000" w:sz="8" w:space="0"/>
              <w:bottom w:val="single" w:color="000000" w:sz="8" w:space="0"/>
              <w:right w:val="single" w:color="000000" w:sz="8" w:space="0"/>
            </w:tcBorders>
            <w:shd w:val="clear" w:color="auto" w:fill="auto"/>
            <w:vAlign w:val="bottom"/>
          </w:tcPr>
          <w:p w14:paraId="693EC7C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1.9</w:t>
            </w:r>
          </w:p>
        </w:tc>
        <w:tc>
          <w:tcPr>
            <w:tcW w:w="1069" w:type="dxa"/>
            <w:tcBorders>
              <w:top w:val="nil"/>
              <w:left w:val="single" w:color="000000" w:sz="8" w:space="0"/>
              <w:bottom w:val="single" w:color="000000" w:sz="8" w:space="0"/>
              <w:right w:val="single" w:color="000000" w:sz="8" w:space="0"/>
            </w:tcBorders>
            <w:shd w:val="clear" w:color="auto" w:fill="auto"/>
            <w:vAlign w:val="bottom"/>
          </w:tcPr>
          <w:p w14:paraId="7BED12B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0.0948 </w:t>
            </w:r>
          </w:p>
        </w:tc>
      </w:tr>
      <w:tr w14:paraId="7FEF9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0B16BD0E">
            <w:pPr>
              <w:keepNext w:val="0"/>
              <w:keepLines w:val="0"/>
              <w:widowControl/>
              <w:suppressLineNumbers w:val="0"/>
              <w:jc w:val="center"/>
              <w:textAlignment w:val="center"/>
              <w:rPr>
                <w:rFonts w:hint="eastAsia" w:ascii="Times New Roman Regular" w:hAnsi="Times New Roman Regular" w:eastAsia="宋体" w:cs="Times New Roman Regular"/>
                <w:i w:val="0"/>
                <w:iCs w:val="0"/>
                <w:color w:val="000000"/>
                <w:sz w:val="21"/>
                <w:szCs w:val="21"/>
                <w:u w:val="none"/>
                <w:lang w:val="en-US" w:eastAsia="zh-CN"/>
              </w:rPr>
            </w:pPr>
            <w:r>
              <w:rPr>
                <w:rFonts w:hint="eastAsia" w:ascii="Times New Roman Regular" w:hAnsi="Times New Roman Regular" w:eastAsia="宋体" w:cs="Times New Roman Regular"/>
                <w:i w:val="0"/>
                <w:iCs w:val="0"/>
                <w:color w:val="000000"/>
                <w:sz w:val="21"/>
                <w:szCs w:val="21"/>
                <w:u w:val="none"/>
                <w:lang w:val="en-US" w:eastAsia="zh-CN"/>
              </w:rPr>
              <w:t>包材</w:t>
            </w:r>
          </w:p>
        </w:tc>
        <w:tc>
          <w:tcPr>
            <w:tcW w:w="1109" w:type="dxa"/>
            <w:tcBorders>
              <w:top w:val="nil"/>
              <w:left w:val="single" w:color="000000" w:sz="8" w:space="0"/>
              <w:bottom w:val="single" w:color="000000" w:sz="8" w:space="0"/>
              <w:right w:val="single" w:color="000000" w:sz="8" w:space="0"/>
            </w:tcBorders>
            <w:shd w:val="clear" w:color="auto" w:fill="auto"/>
            <w:vAlign w:val="bottom"/>
          </w:tcPr>
          <w:p w14:paraId="7A9A28D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2.9345</w:t>
            </w:r>
          </w:p>
        </w:tc>
        <w:tc>
          <w:tcPr>
            <w:tcW w:w="864" w:type="dxa"/>
            <w:tcBorders>
              <w:top w:val="nil"/>
              <w:left w:val="single" w:color="000000" w:sz="8" w:space="0"/>
              <w:bottom w:val="single" w:color="000000" w:sz="8" w:space="0"/>
              <w:right w:val="single" w:color="000000" w:sz="8" w:space="0"/>
            </w:tcBorders>
            <w:shd w:val="clear" w:color="auto" w:fill="auto"/>
            <w:vAlign w:val="bottom"/>
          </w:tcPr>
          <w:p w14:paraId="396F6DE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0.28%</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50C487A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43EC1D1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7AB4125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39AD747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1162B4A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08A1A85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1.2</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19B75C1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20FB704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4</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4125771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1B00073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7219FA8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819" w:type="dxa"/>
            <w:tcBorders>
              <w:top w:val="nil"/>
              <w:left w:val="single" w:color="000000" w:sz="8" w:space="0"/>
              <w:bottom w:val="single" w:color="000000" w:sz="8" w:space="0"/>
              <w:right w:val="single" w:color="000000" w:sz="8" w:space="0"/>
            </w:tcBorders>
            <w:shd w:val="clear" w:color="auto" w:fill="auto"/>
            <w:vAlign w:val="bottom"/>
          </w:tcPr>
          <w:p w14:paraId="167FBE5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1.8</w:t>
            </w:r>
          </w:p>
        </w:tc>
        <w:tc>
          <w:tcPr>
            <w:tcW w:w="1069" w:type="dxa"/>
            <w:tcBorders>
              <w:top w:val="nil"/>
              <w:left w:val="single" w:color="000000" w:sz="8" w:space="0"/>
              <w:bottom w:val="single" w:color="000000" w:sz="8" w:space="0"/>
              <w:right w:val="single" w:color="000000" w:sz="8" w:space="0"/>
            </w:tcBorders>
            <w:shd w:val="clear" w:color="auto" w:fill="auto"/>
            <w:vAlign w:val="bottom"/>
          </w:tcPr>
          <w:p w14:paraId="718E71D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0.0050 </w:t>
            </w:r>
          </w:p>
        </w:tc>
      </w:tr>
      <w:tr w14:paraId="6D161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390ED762">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纸箱</w:t>
            </w:r>
          </w:p>
        </w:tc>
        <w:tc>
          <w:tcPr>
            <w:tcW w:w="1109" w:type="dxa"/>
            <w:tcBorders>
              <w:top w:val="nil"/>
              <w:left w:val="single" w:color="000000" w:sz="8" w:space="0"/>
              <w:bottom w:val="single" w:color="000000" w:sz="8" w:space="0"/>
              <w:right w:val="single" w:color="000000" w:sz="8" w:space="0"/>
            </w:tcBorders>
            <w:shd w:val="clear" w:color="auto" w:fill="auto"/>
            <w:vAlign w:val="bottom"/>
          </w:tcPr>
          <w:p w14:paraId="3346852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2.6882</w:t>
            </w:r>
          </w:p>
        </w:tc>
        <w:tc>
          <w:tcPr>
            <w:tcW w:w="864" w:type="dxa"/>
            <w:tcBorders>
              <w:top w:val="nil"/>
              <w:left w:val="single" w:color="000000" w:sz="8" w:space="0"/>
              <w:bottom w:val="single" w:color="000000" w:sz="8" w:space="0"/>
              <w:right w:val="single" w:color="000000" w:sz="8" w:space="0"/>
            </w:tcBorders>
            <w:shd w:val="clear" w:color="auto" w:fill="auto"/>
            <w:vAlign w:val="bottom"/>
          </w:tcPr>
          <w:p w14:paraId="3E34771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0.26%</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33EA38D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2358ABF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5B6122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60BFB3E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7C30F81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1AE26BB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1.2</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37E1289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621FF7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2ABB1E8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1413814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329E2E9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819" w:type="dxa"/>
            <w:tcBorders>
              <w:top w:val="nil"/>
              <w:left w:val="single" w:color="000000" w:sz="8" w:space="0"/>
              <w:bottom w:val="single" w:color="000000" w:sz="8" w:space="0"/>
              <w:right w:val="single" w:color="000000" w:sz="8" w:space="0"/>
            </w:tcBorders>
            <w:shd w:val="clear" w:color="auto" w:fill="auto"/>
            <w:vAlign w:val="bottom"/>
          </w:tcPr>
          <w:p w14:paraId="0D4334C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1.6</w:t>
            </w:r>
          </w:p>
        </w:tc>
        <w:tc>
          <w:tcPr>
            <w:tcW w:w="1069" w:type="dxa"/>
            <w:tcBorders>
              <w:top w:val="nil"/>
              <w:left w:val="single" w:color="000000" w:sz="8" w:space="0"/>
              <w:bottom w:val="single" w:color="000000" w:sz="8" w:space="0"/>
              <w:right w:val="single" w:color="000000" w:sz="8" w:space="0"/>
            </w:tcBorders>
            <w:shd w:val="clear" w:color="auto" w:fill="auto"/>
            <w:vAlign w:val="bottom"/>
          </w:tcPr>
          <w:p w14:paraId="3AE9FA2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0.0041 </w:t>
            </w:r>
          </w:p>
        </w:tc>
      </w:tr>
      <w:tr w14:paraId="034AD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3BD8CAEE">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自来水</w:t>
            </w:r>
          </w:p>
        </w:tc>
        <w:tc>
          <w:tcPr>
            <w:tcW w:w="1109" w:type="dxa"/>
            <w:tcBorders>
              <w:top w:val="nil"/>
              <w:left w:val="single" w:color="000000" w:sz="8" w:space="0"/>
              <w:bottom w:val="single" w:color="000000" w:sz="8" w:space="0"/>
              <w:right w:val="single" w:color="000000" w:sz="8" w:space="0"/>
            </w:tcBorders>
            <w:shd w:val="clear" w:color="auto" w:fill="auto"/>
            <w:vAlign w:val="bottom"/>
          </w:tcPr>
          <w:p w14:paraId="191100C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0.0034</w:t>
            </w:r>
          </w:p>
        </w:tc>
        <w:tc>
          <w:tcPr>
            <w:tcW w:w="864" w:type="dxa"/>
            <w:tcBorders>
              <w:top w:val="nil"/>
              <w:left w:val="single" w:color="000000" w:sz="8" w:space="0"/>
              <w:bottom w:val="single" w:color="000000" w:sz="8" w:space="0"/>
              <w:right w:val="single" w:color="000000" w:sz="8" w:space="0"/>
            </w:tcBorders>
            <w:shd w:val="clear" w:color="auto" w:fill="auto"/>
            <w:vAlign w:val="bottom"/>
          </w:tcPr>
          <w:p w14:paraId="30049F1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0.00%</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4CA4B7A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7C2D407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76C1BCC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1DF07F0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2475178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64B1B7B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1.8</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261B88D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1568765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3B611DB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5B61DED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195108B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819" w:type="dxa"/>
            <w:tcBorders>
              <w:top w:val="nil"/>
              <w:left w:val="single" w:color="000000" w:sz="8" w:space="0"/>
              <w:bottom w:val="single" w:color="000000" w:sz="8" w:space="0"/>
              <w:right w:val="single" w:color="000000" w:sz="8" w:space="0"/>
            </w:tcBorders>
            <w:shd w:val="clear" w:color="auto" w:fill="auto"/>
            <w:vAlign w:val="bottom"/>
          </w:tcPr>
          <w:p w14:paraId="756AF34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1.9</w:t>
            </w:r>
          </w:p>
        </w:tc>
        <w:tc>
          <w:tcPr>
            <w:tcW w:w="1069" w:type="dxa"/>
            <w:tcBorders>
              <w:top w:val="nil"/>
              <w:left w:val="single" w:color="000000" w:sz="8" w:space="0"/>
              <w:bottom w:val="single" w:color="000000" w:sz="8" w:space="0"/>
              <w:right w:val="single" w:color="000000" w:sz="8" w:space="0"/>
            </w:tcBorders>
            <w:shd w:val="clear" w:color="auto" w:fill="auto"/>
            <w:vAlign w:val="bottom"/>
          </w:tcPr>
          <w:p w14:paraId="6967BC6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0.0000 </w:t>
            </w:r>
          </w:p>
        </w:tc>
      </w:tr>
      <w:tr w14:paraId="76792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40BFA497">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原材料运输</w:t>
            </w:r>
          </w:p>
        </w:tc>
        <w:tc>
          <w:tcPr>
            <w:tcW w:w="1109" w:type="dxa"/>
            <w:tcBorders>
              <w:top w:val="nil"/>
              <w:left w:val="single" w:color="000000" w:sz="8" w:space="0"/>
              <w:bottom w:val="single" w:color="000000" w:sz="8" w:space="0"/>
              <w:right w:val="single" w:color="000000" w:sz="8" w:space="0"/>
            </w:tcBorders>
            <w:shd w:val="clear" w:color="auto" w:fill="auto"/>
            <w:vAlign w:val="bottom"/>
          </w:tcPr>
          <w:p w14:paraId="61B2573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0.9594</w:t>
            </w:r>
          </w:p>
        </w:tc>
        <w:tc>
          <w:tcPr>
            <w:tcW w:w="864" w:type="dxa"/>
            <w:tcBorders>
              <w:top w:val="nil"/>
              <w:left w:val="single" w:color="000000" w:sz="8" w:space="0"/>
              <w:bottom w:val="single" w:color="000000" w:sz="8" w:space="0"/>
              <w:right w:val="single" w:color="000000" w:sz="8" w:space="0"/>
            </w:tcBorders>
            <w:shd w:val="clear" w:color="auto" w:fill="auto"/>
            <w:vAlign w:val="bottom"/>
          </w:tcPr>
          <w:p w14:paraId="59EC15B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0.09%</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44E0633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7AD0AE9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3DF9DFB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47B1259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1BD509F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7A39F50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1.8</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61D2BF9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20FA464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4632AA9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6FFB4EB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48DABCB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819" w:type="dxa"/>
            <w:tcBorders>
              <w:top w:val="nil"/>
              <w:left w:val="single" w:color="000000" w:sz="8" w:space="0"/>
              <w:bottom w:val="single" w:color="000000" w:sz="8" w:space="0"/>
              <w:right w:val="single" w:color="000000" w:sz="8" w:space="0"/>
            </w:tcBorders>
            <w:shd w:val="clear" w:color="auto" w:fill="auto"/>
            <w:vAlign w:val="bottom"/>
          </w:tcPr>
          <w:p w14:paraId="05A51A8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1.9</w:t>
            </w:r>
          </w:p>
        </w:tc>
        <w:tc>
          <w:tcPr>
            <w:tcW w:w="1069" w:type="dxa"/>
            <w:tcBorders>
              <w:top w:val="nil"/>
              <w:left w:val="single" w:color="000000" w:sz="8" w:space="0"/>
              <w:bottom w:val="single" w:color="000000" w:sz="8" w:space="0"/>
              <w:right w:val="single" w:color="000000" w:sz="8" w:space="0"/>
            </w:tcBorders>
            <w:shd w:val="clear" w:color="auto" w:fill="auto"/>
            <w:vAlign w:val="bottom"/>
          </w:tcPr>
          <w:p w14:paraId="20B14A7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0.0017 </w:t>
            </w:r>
          </w:p>
        </w:tc>
      </w:tr>
      <w:tr w14:paraId="1CA6A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75265A33">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电力</w:t>
            </w:r>
          </w:p>
        </w:tc>
        <w:tc>
          <w:tcPr>
            <w:tcW w:w="1109" w:type="dxa"/>
            <w:tcBorders>
              <w:top w:val="nil"/>
              <w:left w:val="single" w:color="000000" w:sz="8" w:space="0"/>
              <w:bottom w:val="single" w:color="000000" w:sz="8" w:space="0"/>
              <w:right w:val="single" w:color="000000" w:sz="8" w:space="0"/>
            </w:tcBorders>
            <w:shd w:val="clear" w:color="auto" w:fill="auto"/>
            <w:vAlign w:val="bottom"/>
          </w:tcPr>
          <w:p w14:paraId="1847DEE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76.9243</w:t>
            </w:r>
          </w:p>
        </w:tc>
        <w:tc>
          <w:tcPr>
            <w:tcW w:w="864" w:type="dxa"/>
            <w:tcBorders>
              <w:top w:val="nil"/>
              <w:left w:val="single" w:color="000000" w:sz="8" w:space="0"/>
              <w:bottom w:val="single" w:color="000000" w:sz="8" w:space="0"/>
              <w:right w:val="single" w:color="000000" w:sz="8" w:space="0"/>
            </w:tcBorders>
            <w:shd w:val="clear" w:color="auto" w:fill="auto"/>
            <w:vAlign w:val="bottom"/>
          </w:tcPr>
          <w:p w14:paraId="41A34BD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7.35%</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1191088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55F30B7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2BFB6D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0E25C6C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15B293C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4C08AF4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1.8</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5016C45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33A4CC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5830CCD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1F7DF46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2E76744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819" w:type="dxa"/>
            <w:tcBorders>
              <w:top w:val="nil"/>
              <w:left w:val="single" w:color="000000" w:sz="8" w:space="0"/>
              <w:bottom w:val="single" w:color="000000" w:sz="8" w:space="0"/>
              <w:right w:val="single" w:color="000000" w:sz="8" w:space="0"/>
            </w:tcBorders>
            <w:shd w:val="clear" w:color="auto" w:fill="auto"/>
            <w:vAlign w:val="bottom"/>
          </w:tcPr>
          <w:p w14:paraId="33897D4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1.9</w:t>
            </w:r>
          </w:p>
        </w:tc>
        <w:tc>
          <w:tcPr>
            <w:tcW w:w="1069" w:type="dxa"/>
            <w:tcBorders>
              <w:top w:val="nil"/>
              <w:left w:val="single" w:color="000000" w:sz="8" w:space="0"/>
              <w:bottom w:val="single" w:color="000000" w:sz="8" w:space="0"/>
              <w:right w:val="single" w:color="000000" w:sz="8" w:space="0"/>
            </w:tcBorders>
            <w:shd w:val="clear" w:color="auto" w:fill="auto"/>
            <w:vAlign w:val="bottom"/>
          </w:tcPr>
          <w:p w14:paraId="5F7D987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0.1396 </w:t>
            </w:r>
          </w:p>
        </w:tc>
      </w:tr>
      <w:tr w14:paraId="69B20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0381233D">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天然气</w:t>
            </w:r>
          </w:p>
        </w:tc>
        <w:tc>
          <w:tcPr>
            <w:tcW w:w="1109" w:type="dxa"/>
            <w:tcBorders>
              <w:top w:val="nil"/>
              <w:left w:val="single" w:color="000000" w:sz="8" w:space="0"/>
              <w:bottom w:val="single" w:color="000000" w:sz="8" w:space="0"/>
              <w:right w:val="single" w:color="000000" w:sz="8" w:space="0"/>
            </w:tcBorders>
            <w:shd w:val="clear" w:color="auto" w:fill="auto"/>
            <w:vAlign w:val="bottom"/>
          </w:tcPr>
          <w:p w14:paraId="48D8D6B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7.8960</w:t>
            </w:r>
          </w:p>
        </w:tc>
        <w:tc>
          <w:tcPr>
            <w:tcW w:w="864" w:type="dxa"/>
            <w:tcBorders>
              <w:top w:val="nil"/>
              <w:left w:val="single" w:color="000000" w:sz="8" w:space="0"/>
              <w:bottom w:val="single" w:color="000000" w:sz="8" w:space="0"/>
              <w:right w:val="single" w:color="000000" w:sz="8" w:space="0"/>
            </w:tcBorders>
            <w:shd w:val="clear" w:color="auto" w:fill="auto"/>
            <w:vAlign w:val="bottom"/>
          </w:tcPr>
          <w:p w14:paraId="704F986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0.75%</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53AE445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533DD90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570B759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38C21E8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4F6F38F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7A60F6A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1.8</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3D0E812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12C1E81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5A72272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48B4C28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4077743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819" w:type="dxa"/>
            <w:tcBorders>
              <w:top w:val="nil"/>
              <w:left w:val="single" w:color="000000" w:sz="8" w:space="0"/>
              <w:bottom w:val="single" w:color="000000" w:sz="8" w:space="0"/>
              <w:right w:val="single" w:color="000000" w:sz="8" w:space="0"/>
            </w:tcBorders>
            <w:shd w:val="clear" w:color="auto" w:fill="auto"/>
            <w:vAlign w:val="bottom"/>
          </w:tcPr>
          <w:p w14:paraId="32E9020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1.9</w:t>
            </w:r>
          </w:p>
        </w:tc>
        <w:tc>
          <w:tcPr>
            <w:tcW w:w="1069" w:type="dxa"/>
            <w:tcBorders>
              <w:top w:val="nil"/>
              <w:left w:val="single" w:color="000000" w:sz="8" w:space="0"/>
              <w:bottom w:val="single" w:color="000000" w:sz="8" w:space="0"/>
              <w:right w:val="single" w:color="000000" w:sz="8" w:space="0"/>
            </w:tcBorders>
            <w:shd w:val="clear" w:color="auto" w:fill="auto"/>
            <w:vAlign w:val="bottom"/>
          </w:tcPr>
          <w:p w14:paraId="4F3ECAC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0.0143 </w:t>
            </w:r>
          </w:p>
        </w:tc>
      </w:tr>
      <w:tr w14:paraId="69098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0FBC89F9">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固废处理</w:t>
            </w:r>
          </w:p>
        </w:tc>
        <w:tc>
          <w:tcPr>
            <w:tcW w:w="1109" w:type="dxa"/>
            <w:tcBorders>
              <w:top w:val="nil"/>
              <w:left w:val="single" w:color="000000" w:sz="8" w:space="0"/>
              <w:bottom w:val="single" w:color="000000" w:sz="8" w:space="0"/>
              <w:right w:val="single" w:color="000000" w:sz="8" w:space="0"/>
            </w:tcBorders>
            <w:shd w:val="clear" w:color="auto" w:fill="auto"/>
            <w:vAlign w:val="bottom"/>
          </w:tcPr>
          <w:p w14:paraId="323C939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0.4914</w:t>
            </w:r>
          </w:p>
        </w:tc>
        <w:tc>
          <w:tcPr>
            <w:tcW w:w="864" w:type="dxa"/>
            <w:tcBorders>
              <w:top w:val="nil"/>
              <w:left w:val="single" w:color="000000" w:sz="8" w:space="0"/>
              <w:bottom w:val="single" w:color="000000" w:sz="8" w:space="0"/>
              <w:right w:val="single" w:color="000000" w:sz="8" w:space="0"/>
            </w:tcBorders>
            <w:shd w:val="clear" w:color="auto" w:fill="auto"/>
            <w:vAlign w:val="bottom"/>
          </w:tcPr>
          <w:p w14:paraId="342A985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0.05%</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03355B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7EC2975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361046B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17F0EA1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1E9B7AC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1B199DF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1.8</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149B8E6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4823BFF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175126D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7A03B7D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152B121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819" w:type="dxa"/>
            <w:tcBorders>
              <w:top w:val="nil"/>
              <w:left w:val="single" w:color="000000" w:sz="8" w:space="0"/>
              <w:bottom w:val="single" w:color="000000" w:sz="8" w:space="0"/>
              <w:right w:val="single" w:color="000000" w:sz="8" w:space="0"/>
            </w:tcBorders>
            <w:shd w:val="clear" w:color="auto" w:fill="auto"/>
            <w:vAlign w:val="bottom"/>
          </w:tcPr>
          <w:p w14:paraId="66C90A0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1.9</w:t>
            </w:r>
          </w:p>
        </w:tc>
        <w:tc>
          <w:tcPr>
            <w:tcW w:w="1069" w:type="dxa"/>
            <w:tcBorders>
              <w:top w:val="nil"/>
              <w:left w:val="single" w:color="000000" w:sz="8" w:space="0"/>
              <w:bottom w:val="single" w:color="000000" w:sz="8" w:space="0"/>
              <w:right w:val="single" w:color="000000" w:sz="8" w:space="0"/>
            </w:tcBorders>
            <w:shd w:val="clear" w:color="auto" w:fill="auto"/>
            <w:vAlign w:val="bottom"/>
          </w:tcPr>
          <w:p w14:paraId="1B7C567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0.0009 </w:t>
            </w:r>
          </w:p>
        </w:tc>
      </w:tr>
      <w:tr w14:paraId="25369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759A0B63">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废水处理</w:t>
            </w:r>
          </w:p>
        </w:tc>
        <w:tc>
          <w:tcPr>
            <w:tcW w:w="1109" w:type="dxa"/>
            <w:tcBorders>
              <w:top w:val="nil"/>
              <w:left w:val="single" w:color="000000" w:sz="8" w:space="0"/>
              <w:bottom w:val="single" w:color="000000" w:sz="8" w:space="0"/>
              <w:right w:val="single" w:color="000000" w:sz="8" w:space="0"/>
            </w:tcBorders>
            <w:shd w:val="clear" w:color="auto" w:fill="auto"/>
            <w:vAlign w:val="bottom"/>
          </w:tcPr>
          <w:p w14:paraId="039D307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0.0048</w:t>
            </w:r>
          </w:p>
        </w:tc>
        <w:tc>
          <w:tcPr>
            <w:tcW w:w="864" w:type="dxa"/>
            <w:tcBorders>
              <w:top w:val="nil"/>
              <w:left w:val="single" w:color="000000" w:sz="8" w:space="0"/>
              <w:bottom w:val="single" w:color="000000" w:sz="8" w:space="0"/>
              <w:right w:val="single" w:color="000000" w:sz="8" w:space="0"/>
            </w:tcBorders>
            <w:shd w:val="clear" w:color="auto" w:fill="auto"/>
            <w:vAlign w:val="bottom"/>
          </w:tcPr>
          <w:p w14:paraId="4549876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0.00%</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1857E94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7B1A292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70326C2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64640A7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33B546F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36199A7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1.8</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3624754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5EA1F60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02ACA8D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00983DB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2C697B3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819" w:type="dxa"/>
            <w:tcBorders>
              <w:top w:val="nil"/>
              <w:left w:val="single" w:color="000000" w:sz="8" w:space="0"/>
              <w:bottom w:val="single" w:color="000000" w:sz="8" w:space="0"/>
              <w:right w:val="single" w:color="000000" w:sz="8" w:space="0"/>
            </w:tcBorders>
            <w:shd w:val="clear" w:color="auto" w:fill="auto"/>
            <w:vAlign w:val="bottom"/>
          </w:tcPr>
          <w:p w14:paraId="0046FF2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1.9</w:t>
            </w:r>
          </w:p>
        </w:tc>
        <w:tc>
          <w:tcPr>
            <w:tcW w:w="1069" w:type="dxa"/>
            <w:tcBorders>
              <w:top w:val="nil"/>
              <w:left w:val="single" w:color="000000" w:sz="8" w:space="0"/>
              <w:bottom w:val="single" w:color="000000" w:sz="8" w:space="0"/>
              <w:right w:val="single" w:color="000000" w:sz="8" w:space="0"/>
            </w:tcBorders>
            <w:shd w:val="clear" w:color="auto" w:fill="auto"/>
            <w:vAlign w:val="bottom"/>
          </w:tcPr>
          <w:p w14:paraId="1E476C5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0.0000 </w:t>
            </w:r>
          </w:p>
        </w:tc>
      </w:tr>
      <w:tr w14:paraId="68596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3EE06021">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固废运输</w:t>
            </w:r>
          </w:p>
        </w:tc>
        <w:tc>
          <w:tcPr>
            <w:tcW w:w="1109" w:type="dxa"/>
            <w:tcBorders>
              <w:top w:val="nil"/>
              <w:left w:val="single" w:color="000000" w:sz="8" w:space="0"/>
              <w:bottom w:val="single" w:color="000000" w:sz="8" w:space="0"/>
              <w:right w:val="single" w:color="000000" w:sz="8" w:space="0"/>
            </w:tcBorders>
            <w:shd w:val="clear" w:color="auto" w:fill="auto"/>
            <w:vAlign w:val="bottom"/>
          </w:tcPr>
          <w:p w14:paraId="5679167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0.0015</w:t>
            </w:r>
          </w:p>
        </w:tc>
        <w:tc>
          <w:tcPr>
            <w:tcW w:w="864" w:type="dxa"/>
            <w:tcBorders>
              <w:top w:val="nil"/>
              <w:left w:val="single" w:color="000000" w:sz="8" w:space="0"/>
              <w:bottom w:val="single" w:color="000000" w:sz="8" w:space="0"/>
              <w:right w:val="single" w:color="000000" w:sz="8" w:space="0"/>
            </w:tcBorders>
            <w:shd w:val="clear" w:color="auto" w:fill="auto"/>
            <w:vAlign w:val="bottom"/>
          </w:tcPr>
          <w:p w14:paraId="31B45FA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0.00%</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042E91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00615E3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3D57E9B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7A6348E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7B512E2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15DD7B6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1.8</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178E4BB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2EFA61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3</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08184BB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7578852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2</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50E1EE2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w:t>
            </w:r>
          </w:p>
        </w:tc>
        <w:tc>
          <w:tcPr>
            <w:tcW w:w="819" w:type="dxa"/>
            <w:tcBorders>
              <w:top w:val="nil"/>
              <w:left w:val="single" w:color="000000" w:sz="8" w:space="0"/>
              <w:bottom w:val="single" w:color="000000" w:sz="8" w:space="0"/>
              <w:right w:val="single" w:color="000000" w:sz="8" w:space="0"/>
            </w:tcBorders>
            <w:shd w:val="clear" w:color="auto" w:fill="auto"/>
            <w:vAlign w:val="bottom"/>
          </w:tcPr>
          <w:p w14:paraId="44E17BB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1.9</w:t>
            </w:r>
          </w:p>
        </w:tc>
        <w:tc>
          <w:tcPr>
            <w:tcW w:w="1069" w:type="dxa"/>
            <w:tcBorders>
              <w:top w:val="nil"/>
              <w:left w:val="single" w:color="000000" w:sz="8" w:space="0"/>
              <w:bottom w:val="single" w:color="000000" w:sz="8" w:space="0"/>
              <w:right w:val="single" w:color="000000" w:sz="8" w:space="0"/>
            </w:tcBorders>
            <w:shd w:val="clear" w:color="auto" w:fill="auto"/>
            <w:vAlign w:val="bottom"/>
          </w:tcPr>
          <w:p w14:paraId="42EDC8F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 xml:space="preserve">0.0000 </w:t>
            </w:r>
          </w:p>
        </w:tc>
      </w:tr>
      <w:tr w14:paraId="664A6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499" w:type="pct"/>
            <w:tcBorders>
              <w:top w:val="nil"/>
              <w:left w:val="single" w:color="000000" w:sz="8" w:space="0"/>
              <w:bottom w:val="single" w:color="000000" w:sz="8" w:space="0"/>
              <w:right w:val="single" w:color="000000" w:sz="8" w:space="0"/>
            </w:tcBorders>
            <w:shd w:val="clear" w:color="auto" w:fill="auto"/>
            <w:vAlign w:val="center"/>
          </w:tcPr>
          <w:p w14:paraId="17CC754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合计</w:t>
            </w:r>
          </w:p>
        </w:tc>
        <w:tc>
          <w:tcPr>
            <w:tcW w:w="1109" w:type="dxa"/>
            <w:tcBorders>
              <w:top w:val="nil"/>
              <w:left w:val="single" w:color="000000" w:sz="8" w:space="0"/>
              <w:bottom w:val="single" w:color="000000" w:sz="8" w:space="0"/>
              <w:right w:val="single" w:color="000000" w:sz="8" w:space="0"/>
            </w:tcBorders>
            <w:shd w:val="clear" w:color="auto" w:fill="auto"/>
            <w:vAlign w:val="bottom"/>
          </w:tcPr>
          <w:p w14:paraId="072C7E1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1047.29</w:t>
            </w:r>
          </w:p>
        </w:tc>
        <w:tc>
          <w:tcPr>
            <w:tcW w:w="305" w:type="pct"/>
            <w:tcBorders>
              <w:top w:val="nil"/>
              <w:left w:val="single" w:color="000000" w:sz="8" w:space="0"/>
              <w:bottom w:val="single" w:color="000000" w:sz="8" w:space="0"/>
              <w:right w:val="single" w:color="000000" w:sz="8" w:space="0"/>
            </w:tcBorders>
            <w:shd w:val="clear" w:color="auto" w:fill="auto"/>
            <w:vAlign w:val="center"/>
          </w:tcPr>
          <w:p w14:paraId="46D1260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100%</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2182D38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4" w:type="pct"/>
            <w:tcBorders>
              <w:top w:val="nil"/>
              <w:left w:val="single" w:color="000000" w:sz="8" w:space="0"/>
              <w:bottom w:val="single" w:color="000000" w:sz="8" w:space="0"/>
              <w:right w:val="single" w:color="000000" w:sz="8" w:space="0"/>
            </w:tcBorders>
            <w:shd w:val="clear" w:color="auto" w:fill="auto"/>
            <w:vAlign w:val="center"/>
          </w:tcPr>
          <w:p w14:paraId="15DDE50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09DF254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38E8075E">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4032EAC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16DC8CC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7" w:type="pct"/>
            <w:tcBorders>
              <w:top w:val="nil"/>
              <w:left w:val="single" w:color="000000" w:sz="8" w:space="0"/>
              <w:bottom w:val="single" w:color="000000" w:sz="8" w:space="0"/>
              <w:right w:val="single" w:color="000000" w:sz="8" w:space="0"/>
            </w:tcBorders>
            <w:shd w:val="clear" w:color="auto" w:fill="auto"/>
            <w:vAlign w:val="center"/>
          </w:tcPr>
          <w:p w14:paraId="5F52D9C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5" w:type="pct"/>
            <w:tcBorders>
              <w:top w:val="nil"/>
              <w:left w:val="single" w:color="000000" w:sz="8" w:space="0"/>
              <w:bottom w:val="single" w:color="000000" w:sz="8" w:space="0"/>
              <w:right w:val="single" w:color="000000" w:sz="8" w:space="0"/>
            </w:tcBorders>
            <w:shd w:val="clear" w:color="auto" w:fill="auto"/>
            <w:vAlign w:val="center"/>
          </w:tcPr>
          <w:p w14:paraId="1D940F0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6DB0C09A">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0" w:type="pct"/>
            <w:tcBorders>
              <w:top w:val="nil"/>
              <w:left w:val="single" w:color="000000" w:sz="8" w:space="0"/>
              <w:bottom w:val="single" w:color="000000" w:sz="8" w:space="0"/>
              <w:right w:val="single" w:color="000000" w:sz="8" w:space="0"/>
            </w:tcBorders>
            <w:shd w:val="clear" w:color="auto" w:fill="auto"/>
            <w:vAlign w:val="center"/>
          </w:tcPr>
          <w:p w14:paraId="320145F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6" w:type="pct"/>
            <w:tcBorders>
              <w:top w:val="nil"/>
              <w:left w:val="single" w:color="000000" w:sz="8" w:space="0"/>
              <w:bottom w:val="single" w:color="000000" w:sz="8" w:space="0"/>
              <w:right w:val="single" w:color="000000" w:sz="8" w:space="0"/>
            </w:tcBorders>
            <w:shd w:val="clear" w:color="auto" w:fill="auto"/>
            <w:vAlign w:val="center"/>
          </w:tcPr>
          <w:p w14:paraId="66BE6FA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289" w:type="pct"/>
            <w:tcBorders>
              <w:top w:val="nil"/>
              <w:left w:val="single" w:color="000000" w:sz="8" w:space="0"/>
              <w:bottom w:val="single" w:color="000000" w:sz="8" w:space="0"/>
              <w:right w:val="single" w:color="000000" w:sz="8" w:space="0"/>
            </w:tcBorders>
            <w:shd w:val="clear" w:color="auto" w:fill="auto"/>
            <w:vAlign w:val="center"/>
          </w:tcPr>
          <w:p w14:paraId="0EB0D78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w:t>
            </w:r>
          </w:p>
        </w:tc>
        <w:tc>
          <w:tcPr>
            <w:tcW w:w="377" w:type="pct"/>
            <w:tcBorders>
              <w:top w:val="nil"/>
              <w:left w:val="single" w:color="000000" w:sz="8" w:space="0"/>
              <w:bottom w:val="single" w:color="000000" w:sz="8" w:space="0"/>
              <w:right w:val="single" w:color="000000" w:sz="8" w:space="0"/>
            </w:tcBorders>
            <w:shd w:val="clear" w:color="auto" w:fill="auto"/>
            <w:vAlign w:val="center"/>
          </w:tcPr>
          <w:p w14:paraId="14E70E2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default" w:ascii="Times New Roman Regular" w:hAnsi="Times New Roman Regular" w:eastAsia="宋体" w:cs="Times New Roman Regular"/>
                <w:i w:val="0"/>
                <w:iCs w:val="0"/>
                <w:color w:val="000000"/>
                <w:kern w:val="0"/>
                <w:sz w:val="21"/>
                <w:szCs w:val="21"/>
                <w:u w:val="none"/>
                <w:lang w:val="en-US" w:eastAsia="zh-CN" w:bidi="ar"/>
              </w:rPr>
              <w:t>1.64</w:t>
            </w:r>
          </w:p>
        </w:tc>
      </w:tr>
    </w:tbl>
    <w:p w14:paraId="7E939800">
      <w:pPr>
        <w:pStyle w:val="17"/>
        <w:rPr>
          <w:rFonts w:hint="default"/>
          <w:lang w:val="en-US" w:eastAsia="zh-CN"/>
        </w:rPr>
      </w:pPr>
    </w:p>
    <w:p w14:paraId="72DD059B">
      <w:pPr>
        <w:spacing w:line="360" w:lineRule="auto"/>
        <w:ind w:firstLine="480" w:firstLineChars="200"/>
        <w:rPr>
          <w:rFonts w:hint="default" w:ascii="Times New Roman" w:hAnsi="Times New Roman" w:eastAsia="宋体"/>
          <w:i w:val="0"/>
          <w:iCs w:val="0"/>
          <w:color w:val="auto"/>
          <w:sz w:val="24"/>
          <w:szCs w:val="28"/>
          <w:lang w:val="en-US" w:eastAsia="zh-CN"/>
        </w:rPr>
      </w:pPr>
    </w:p>
    <w:p w14:paraId="66BB0363">
      <w:pPr>
        <w:pStyle w:val="2"/>
        <w:keepNext w:val="0"/>
        <w:keepLines w:val="0"/>
        <w:numPr>
          <w:ilvl w:val="0"/>
          <w:numId w:val="1"/>
        </w:numPr>
        <w:spacing w:before="80" w:line="360" w:lineRule="auto"/>
        <w:ind w:left="442" w:hanging="442"/>
        <w:rPr>
          <w:rFonts w:ascii="Times New Roman" w:hAnsi="Times New Roman" w:eastAsia="宋体"/>
          <w:b/>
          <w:bCs/>
          <w:color w:val="auto"/>
          <w:sz w:val="32"/>
          <w:szCs w:val="32"/>
        </w:rPr>
        <w:sectPr>
          <w:pgSz w:w="16838" w:h="11906" w:orient="landscape"/>
          <w:pgMar w:top="1800" w:right="1440" w:bottom="1800" w:left="1440" w:header="851" w:footer="992" w:gutter="0"/>
          <w:cols w:space="425" w:num="1"/>
          <w:docGrid w:type="lines" w:linePitch="312" w:charSpace="0"/>
        </w:sectPr>
      </w:pPr>
      <w:bookmarkStart w:id="19" w:name="_Toc32227"/>
    </w:p>
    <w:p w14:paraId="36335B7C">
      <w:pPr>
        <w:pStyle w:val="2"/>
        <w:keepNext w:val="0"/>
        <w:keepLines w:val="0"/>
        <w:numPr>
          <w:ilvl w:val="0"/>
          <w:numId w:val="1"/>
        </w:numPr>
        <w:spacing w:before="80" w:line="360" w:lineRule="auto"/>
        <w:ind w:left="442" w:hanging="442"/>
        <w:rPr>
          <w:rFonts w:ascii="Times New Roman" w:hAnsi="Times New Roman" w:eastAsia="宋体"/>
          <w:b/>
          <w:bCs/>
          <w:color w:val="auto"/>
          <w:sz w:val="32"/>
          <w:szCs w:val="32"/>
        </w:rPr>
      </w:pPr>
      <w:r>
        <w:rPr>
          <w:rFonts w:hint="eastAsia" w:ascii="Times New Roman" w:hAnsi="Times New Roman" w:eastAsia="宋体"/>
          <w:b/>
          <w:bCs/>
          <w:color w:val="auto"/>
          <w:sz w:val="32"/>
          <w:szCs w:val="32"/>
        </w:rPr>
        <w:t>影响评价</w:t>
      </w:r>
      <w:bookmarkEnd w:id="19"/>
    </w:p>
    <w:p w14:paraId="6B498394">
      <w:pPr>
        <w:pStyle w:val="3"/>
        <w:keepNext w:val="0"/>
        <w:keepLines w:val="0"/>
        <w:numPr>
          <w:ilvl w:val="0"/>
          <w:numId w:val="7"/>
        </w:numPr>
        <w:spacing w:before="80" w:line="360" w:lineRule="auto"/>
        <w:rPr>
          <w:rFonts w:ascii="Times New Roman" w:hAnsi="Times New Roman" w:eastAsia="宋体"/>
          <w:b/>
          <w:bCs/>
          <w:color w:val="auto"/>
          <w:sz w:val="28"/>
          <w:szCs w:val="28"/>
        </w:rPr>
      </w:pPr>
      <w:bookmarkStart w:id="20" w:name="_Toc19360"/>
      <w:r>
        <w:rPr>
          <w:rFonts w:hint="eastAsia" w:ascii="Times New Roman" w:hAnsi="Times New Roman" w:eastAsia="宋体"/>
          <w:b/>
          <w:bCs/>
          <w:color w:val="auto"/>
          <w:sz w:val="28"/>
          <w:szCs w:val="28"/>
        </w:rPr>
        <w:t>影响类型和特征化因子选择</w:t>
      </w:r>
      <w:bookmarkEnd w:id="20"/>
    </w:p>
    <w:p w14:paraId="7E49B54E">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本报告使用的特征化因子为：IPCC 2021（100年GWP）。</w:t>
      </w:r>
    </w:p>
    <w:p w14:paraId="6CBD6AF1">
      <w:pPr>
        <w:pStyle w:val="3"/>
        <w:keepNext w:val="0"/>
        <w:keepLines w:val="0"/>
        <w:numPr>
          <w:ilvl w:val="0"/>
          <w:numId w:val="7"/>
        </w:numPr>
        <w:spacing w:before="80" w:line="360" w:lineRule="auto"/>
        <w:rPr>
          <w:rFonts w:ascii="Times New Roman" w:hAnsi="Times New Roman" w:eastAsia="宋体"/>
          <w:b/>
          <w:bCs/>
          <w:color w:val="auto"/>
          <w:sz w:val="28"/>
          <w:szCs w:val="28"/>
        </w:rPr>
      </w:pPr>
      <w:bookmarkStart w:id="21" w:name="_Toc9757"/>
      <w:r>
        <w:rPr>
          <w:rFonts w:hint="eastAsia" w:ascii="Times New Roman" w:hAnsi="Times New Roman" w:eastAsia="宋体"/>
          <w:b/>
          <w:bCs/>
          <w:color w:val="auto"/>
          <w:sz w:val="28"/>
          <w:szCs w:val="28"/>
        </w:rPr>
        <w:t>产品碳足迹结果计算</w:t>
      </w:r>
      <w:bookmarkEnd w:id="21"/>
    </w:p>
    <w:p w14:paraId="243262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产品碳足迹的公式是整个产品生命周期中所有活动的所有原辅材料、能源乘以其排放因子后再加和。其计算公式如下：</w:t>
      </w:r>
    </w:p>
    <w:p w14:paraId="6A6C88BF">
      <w:pPr>
        <w:pStyle w:val="16"/>
        <w:jc w:val="right"/>
        <w:rPr>
          <w:rFonts w:hint="default"/>
          <w:lang w:val="en-US"/>
        </w:rPr>
      </w:pPr>
      <m:oMath>
        <m:r>
          <m:rPr/>
          <w:rPr>
            <w:rFonts w:hint="default" w:ascii="DejaVu Math TeX Gyre" w:hAnsi="DejaVu Math TeX Gyre" w:cstheme="minorBidi"/>
            <w:color w:val="auto"/>
            <w:kern w:val="2"/>
            <w:sz w:val="21"/>
            <w:szCs w:val="21"/>
            <w:lang w:val="en-US" w:eastAsia="zh-CN" w:bidi="ar-SA"/>
          </w:rPr>
          <m:t>CFP=</m:t>
        </m:r>
        <m:nary>
          <m:naryPr>
            <m:chr m:val="∑"/>
            <m:limLoc m:val="subSup"/>
            <m:ctrlPr>
              <w:rPr>
                <w:rFonts w:hint="default" w:ascii="DejaVu Math TeX Gyre" w:hAnsi="DejaVu Math TeX Gyre" w:cstheme="minorBidi"/>
                <w:i/>
                <w:iCs/>
                <w:color w:val="auto"/>
                <w:kern w:val="2"/>
                <w:sz w:val="21"/>
                <w:szCs w:val="21"/>
                <w:lang w:val="en-US" w:eastAsia="zh-CN" w:bidi="ar-SA"/>
              </w:rPr>
            </m:ctrlPr>
          </m:naryPr>
          <m:sub>
            <m:r>
              <m:rPr/>
              <w:rPr>
                <w:rFonts w:hint="default" w:ascii="DejaVu Math TeX Gyre" w:hAnsi="DejaVu Math TeX Gyre" w:cstheme="minorBidi"/>
                <w:color w:val="auto"/>
                <w:kern w:val="2"/>
                <w:sz w:val="21"/>
                <w:szCs w:val="21"/>
                <w:lang w:val="en-US" w:eastAsia="zh-CN" w:bidi="ar-SA"/>
              </w:rPr>
              <m:t>i=1,j=1</m:t>
            </m:r>
            <m:ctrlPr>
              <w:rPr>
                <w:rFonts w:hint="default" w:ascii="DejaVu Math TeX Gyre" w:hAnsi="DejaVu Math TeX Gyre" w:cstheme="minorBidi"/>
                <w:i/>
                <w:iCs/>
                <w:color w:val="auto"/>
                <w:kern w:val="2"/>
                <w:sz w:val="21"/>
                <w:szCs w:val="21"/>
                <w:lang w:val="en-US" w:eastAsia="zh-CN" w:bidi="ar-SA"/>
              </w:rPr>
            </m:ctrlPr>
          </m:sub>
          <m:sup>
            <m:r>
              <m:rPr/>
              <w:rPr>
                <w:rFonts w:hint="default" w:ascii="DejaVu Math TeX Gyre" w:hAnsi="DejaVu Math TeX Gyre" w:cstheme="minorBidi"/>
                <w:color w:val="auto"/>
                <w:kern w:val="2"/>
                <w:sz w:val="21"/>
                <w:szCs w:val="21"/>
                <w:lang w:val="en-US" w:eastAsia="zh-CN" w:bidi="ar-SA"/>
              </w:rPr>
              <m:t>n</m:t>
            </m:r>
            <m:ctrlPr>
              <w:rPr>
                <w:rFonts w:hint="default" w:ascii="DejaVu Math TeX Gyre" w:hAnsi="DejaVu Math TeX Gyre" w:cstheme="minorBidi"/>
                <w:i/>
                <w:iCs/>
                <w:color w:val="auto"/>
                <w:kern w:val="2"/>
                <w:sz w:val="21"/>
                <w:szCs w:val="21"/>
                <w:lang w:val="en-US" w:eastAsia="zh-CN" w:bidi="ar-SA"/>
              </w:rPr>
            </m:ctrlPr>
          </m:sup>
          <m:e>
            <m:d>
              <m:dPr>
                <m:ctrlPr>
                  <w:rPr>
                    <w:rFonts w:hint="default" w:ascii="DejaVu Math TeX Gyre" w:hAnsi="DejaVu Math TeX Gyre" w:cstheme="minorBidi"/>
                    <w:i/>
                    <w:iCs/>
                    <w:color w:val="auto"/>
                    <w:kern w:val="2"/>
                    <w:sz w:val="21"/>
                    <w:szCs w:val="21"/>
                    <w:lang w:val="en-US" w:eastAsia="zh-CN" w:bidi="ar-SA"/>
                  </w:rPr>
                </m:ctrlPr>
              </m:dPr>
              <m:e>
                <m:sSub>
                  <m:sSubPr>
                    <m:ctrlPr>
                      <w:rPr>
                        <w:rFonts w:hint="default" w:ascii="DejaVu Math TeX Gyre" w:hAnsi="DejaVu Math TeX Gyre" w:cstheme="minorBidi"/>
                        <w:i/>
                        <w:iCs/>
                        <w:color w:val="auto"/>
                        <w:kern w:val="2"/>
                        <w:sz w:val="21"/>
                        <w:szCs w:val="21"/>
                        <w:lang w:val="en-US" w:eastAsia="zh-CN" w:bidi="ar-SA"/>
                      </w:rPr>
                    </m:ctrlPr>
                  </m:sSubPr>
                  <m:e>
                    <m:r>
                      <m:rPr/>
                      <w:rPr>
                        <w:rFonts w:hint="default" w:ascii="DejaVu Math TeX Gyre" w:hAnsi="DejaVu Math TeX Gyre" w:cstheme="minorBidi"/>
                        <w:color w:val="auto"/>
                        <w:kern w:val="2"/>
                        <w:sz w:val="21"/>
                        <w:szCs w:val="21"/>
                        <w:lang w:val="en-US" w:eastAsia="zh-CN" w:bidi="ar-SA"/>
                      </w:rPr>
                      <m:t>AD</m:t>
                    </m:r>
                    <m:ctrlPr>
                      <w:rPr>
                        <w:rFonts w:hint="default" w:ascii="DejaVu Math TeX Gyre" w:hAnsi="DejaVu Math TeX Gyre" w:cstheme="minorBidi"/>
                        <w:i/>
                        <w:iCs/>
                        <w:color w:val="auto"/>
                        <w:kern w:val="2"/>
                        <w:sz w:val="21"/>
                        <w:szCs w:val="21"/>
                        <w:lang w:val="en-US" w:eastAsia="zh-CN" w:bidi="ar-SA"/>
                      </w:rPr>
                    </m:ctrlPr>
                  </m:e>
                  <m:sub>
                    <m:r>
                      <m:rPr/>
                      <w:rPr>
                        <w:rFonts w:hint="default" w:ascii="DejaVu Math TeX Gyre" w:hAnsi="DejaVu Math TeX Gyre" w:cstheme="minorBidi"/>
                        <w:color w:val="auto"/>
                        <w:kern w:val="2"/>
                        <w:sz w:val="21"/>
                        <w:szCs w:val="21"/>
                        <w:lang w:val="en-US" w:eastAsia="zh-CN" w:bidi="ar-SA"/>
                      </w:rPr>
                      <m:t>i</m:t>
                    </m:r>
                    <m:ctrlPr>
                      <w:rPr>
                        <w:rFonts w:hint="default" w:ascii="DejaVu Math TeX Gyre" w:hAnsi="DejaVu Math TeX Gyre" w:cstheme="minorBidi"/>
                        <w:i/>
                        <w:iCs/>
                        <w:color w:val="auto"/>
                        <w:kern w:val="2"/>
                        <w:sz w:val="21"/>
                        <w:szCs w:val="21"/>
                        <w:lang w:val="en-US" w:eastAsia="zh-CN" w:bidi="ar-SA"/>
                      </w:rPr>
                    </m:ctrlPr>
                  </m:sub>
                </m:sSub>
                <m:r>
                  <m:rPr/>
                  <w:rPr>
                    <w:rFonts w:ascii="DejaVu Math TeX Gyre" w:hAnsi="DejaVu Math TeX Gyre" w:cstheme="minorBidi"/>
                    <w:color w:val="auto"/>
                    <w:kern w:val="2"/>
                    <w:sz w:val="21"/>
                    <w:szCs w:val="21"/>
                    <w:lang w:val="en-US" w:bidi="ar-SA"/>
                  </w:rPr>
                  <m:t>×</m:t>
                </m:r>
                <m:sSub>
                  <m:sSubPr>
                    <m:ctrlPr>
                      <w:rPr>
                        <w:rFonts w:ascii="DejaVu Math TeX Gyre" w:hAnsi="DejaVu Math TeX Gyre" w:cstheme="minorBidi"/>
                        <w:i/>
                        <w:iCs/>
                        <w:color w:val="auto"/>
                        <w:kern w:val="2"/>
                        <w:sz w:val="21"/>
                        <w:szCs w:val="21"/>
                        <w:lang w:val="en-US" w:bidi="ar-SA"/>
                      </w:rPr>
                    </m:ctrlPr>
                  </m:sSubPr>
                  <m:e>
                    <m:r>
                      <m:rPr/>
                      <w:rPr>
                        <w:rFonts w:hint="default" w:ascii="DejaVu Math TeX Gyre" w:hAnsi="DejaVu Math TeX Gyre" w:cstheme="minorBidi"/>
                        <w:color w:val="auto"/>
                        <w:kern w:val="2"/>
                        <w:sz w:val="21"/>
                        <w:szCs w:val="21"/>
                        <w:lang w:val="en-US" w:bidi="ar-SA"/>
                      </w:rPr>
                      <m:t>EF</m:t>
                    </m:r>
                    <m:ctrlPr>
                      <w:rPr>
                        <w:rFonts w:ascii="DejaVu Math TeX Gyre" w:hAnsi="DejaVu Math TeX Gyre" w:cstheme="minorBidi"/>
                        <w:i/>
                        <w:iCs/>
                        <w:color w:val="auto"/>
                        <w:kern w:val="2"/>
                        <w:sz w:val="21"/>
                        <w:szCs w:val="21"/>
                        <w:lang w:val="en-US" w:bidi="ar-SA"/>
                      </w:rPr>
                    </m:ctrlPr>
                  </m:e>
                  <m:sub>
                    <m:r>
                      <m:rPr/>
                      <w:rPr>
                        <w:rFonts w:hint="default" w:ascii="DejaVu Math TeX Gyre" w:hAnsi="DejaVu Math TeX Gyre" w:cstheme="minorBidi"/>
                        <w:color w:val="auto"/>
                        <w:kern w:val="2"/>
                        <w:sz w:val="21"/>
                        <w:szCs w:val="21"/>
                        <w:lang w:val="en-US" w:bidi="ar-SA"/>
                      </w:rPr>
                      <m:t>ij</m:t>
                    </m:r>
                    <m:ctrlPr>
                      <w:rPr>
                        <w:rFonts w:ascii="DejaVu Math TeX Gyre" w:hAnsi="DejaVu Math TeX Gyre" w:cstheme="minorBidi"/>
                        <w:i/>
                        <w:iCs/>
                        <w:color w:val="auto"/>
                        <w:kern w:val="2"/>
                        <w:sz w:val="21"/>
                        <w:szCs w:val="21"/>
                        <w:lang w:val="en-US" w:bidi="ar-SA"/>
                      </w:rPr>
                    </m:ctrlPr>
                  </m:sub>
                </m:sSub>
                <m:r>
                  <m:rPr/>
                  <w:rPr>
                    <w:rFonts w:ascii="DejaVu Math TeX Gyre" w:hAnsi="DejaVu Math TeX Gyre" w:cstheme="minorBidi"/>
                    <w:color w:val="auto"/>
                    <w:kern w:val="2"/>
                    <w:sz w:val="21"/>
                    <w:szCs w:val="21"/>
                    <w:lang w:val="en-US" w:bidi="ar-SA"/>
                  </w:rPr>
                  <m:t>×</m:t>
                </m:r>
                <m:sSub>
                  <m:sSubPr>
                    <m:ctrlPr>
                      <w:rPr>
                        <w:rFonts w:ascii="DejaVu Math TeX Gyre" w:hAnsi="DejaVu Math TeX Gyre" w:cstheme="minorBidi"/>
                        <w:i/>
                        <w:iCs/>
                        <w:color w:val="auto"/>
                        <w:kern w:val="2"/>
                        <w:sz w:val="21"/>
                        <w:szCs w:val="21"/>
                        <w:lang w:val="en-US" w:bidi="ar-SA"/>
                      </w:rPr>
                    </m:ctrlPr>
                  </m:sSubPr>
                  <m:e>
                    <m:r>
                      <m:rPr/>
                      <w:rPr>
                        <w:rFonts w:hint="default" w:ascii="DejaVu Math TeX Gyre" w:hAnsi="DejaVu Math TeX Gyre" w:cstheme="minorBidi"/>
                        <w:color w:val="auto"/>
                        <w:kern w:val="2"/>
                        <w:sz w:val="21"/>
                        <w:szCs w:val="21"/>
                        <w:lang w:val="en-US" w:bidi="ar-SA"/>
                      </w:rPr>
                      <m:t>GWP</m:t>
                    </m:r>
                    <m:ctrlPr>
                      <w:rPr>
                        <w:rFonts w:ascii="DejaVu Math TeX Gyre" w:hAnsi="DejaVu Math TeX Gyre" w:cstheme="minorBidi"/>
                        <w:i/>
                        <w:iCs/>
                        <w:color w:val="auto"/>
                        <w:kern w:val="2"/>
                        <w:sz w:val="21"/>
                        <w:szCs w:val="21"/>
                        <w:lang w:val="en-US" w:bidi="ar-SA"/>
                      </w:rPr>
                    </m:ctrlPr>
                  </m:e>
                  <m:sub>
                    <m:r>
                      <m:rPr/>
                      <w:rPr>
                        <w:rFonts w:hint="default" w:ascii="DejaVu Math TeX Gyre" w:hAnsi="DejaVu Math TeX Gyre" w:cstheme="minorBidi"/>
                        <w:color w:val="auto"/>
                        <w:kern w:val="2"/>
                        <w:sz w:val="21"/>
                        <w:szCs w:val="21"/>
                        <w:lang w:val="en-US" w:bidi="ar-SA"/>
                      </w:rPr>
                      <m:t>j</m:t>
                    </m:r>
                    <m:ctrlPr>
                      <w:rPr>
                        <w:rFonts w:ascii="DejaVu Math TeX Gyre" w:hAnsi="DejaVu Math TeX Gyre" w:cstheme="minorBidi"/>
                        <w:i/>
                        <w:iCs/>
                        <w:color w:val="auto"/>
                        <w:kern w:val="2"/>
                        <w:sz w:val="21"/>
                        <w:szCs w:val="21"/>
                        <w:lang w:val="en-US" w:bidi="ar-SA"/>
                      </w:rPr>
                    </m:ctrlPr>
                  </m:sub>
                </m:sSub>
                <m:ctrlPr>
                  <w:rPr>
                    <w:rFonts w:hint="default" w:ascii="DejaVu Math TeX Gyre" w:hAnsi="DejaVu Math TeX Gyre" w:cstheme="minorBidi"/>
                    <w:i/>
                    <w:iCs/>
                    <w:color w:val="auto"/>
                    <w:kern w:val="2"/>
                    <w:sz w:val="21"/>
                    <w:szCs w:val="21"/>
                    <w:lang w:val="en-US" w:eastAsia="zh-CN" w:bidi="ar-SA"/>
                  </w:rPr>
                </m:ctrlPr>
              </m:e>
            </m:d>
            <m:ctrlPr>
              <w:rPr>
                <w:rFonts w:hint="default" w:ascii="DejaVu Math TeX Gyre" w:hAnsi="DejaVu Math TeX Gyre" w:cstheme="minorBidi"/>
                <w:i/>
                <w:iCs/>
                <w:color w:val="auto"/>
                <w:kern w:val="2"/>
                <w:sz w:val="21"/>
                <w:szCs w:val="21"/>
                <w:lang w:val="en-US" w:eastAsia="zh-CN" w:bidi="ar-SA"/>
              </w:rPr>
            </m:ctrlPr>
          </m:e>
        </m:nary>
      </m:oMath>
      <w:r>
        <w:rPr>
          <w:rFonts w:hint="default" w:ascii="Times New Roman" w:hAnsi="Times New Roman" w:eastAsia="仿宋" w:cs="Times New Roman"/>
          <w:color w:val="auto"/>
          <w:kern w:val="2"/>
          <w:sz w:val="28"/>
          <w:szCs w:val="28"/>
          <w:lang w:val="en-US" w:eastAsia="zh-CN" w:bidi="ar-SA"/>
        </w:rPr>
        <w:t xml:space="preserve">            </w:t>
      </w:r>
      <w:r>
        <w:rPr>
          <w:rFonts w:hint="eastAsia" w:ascii="Times New Roman" w:hAnsi="Times New Roman" w:eastAsia="仿宋" w:cs="Times New Roman"/>
          <w:color w:val="auto"/>
          <w:kern w:val="2"/>
          <w:sz w:val="28"/>
          <w:szCs w:val="28"/>
          <w:lang w:val="en-US" w:eastAsia="zh-CN" w:bidi="ar-SA"/>
        </w:rPr>
        <w:t>（</w:t>
      </w:r>
      <w:r>
        <w:rPr>
          <w:rFonts w:hint="default" w:hAnsi="Times New Roman" w:eastAsia="仿宋" w:cs="Times New Roman"/>
          <w:color w:val="auto"/>
          <w:kern w:val="2"/>
          <w:sz w:val="28"/>
          <w:szCs w:val="28"/>
          <w:lang w:val="en-US" w:eastAsia="zh-CN" w:bidi="ar-SA"/>
        </w:rPr>
        <w:t>3</w:t>
      </w:r>
      <w:r>
        <w:rPr>
          <w:rFonts w:hint="eastAsia" w:ascii="Times New Roman" w:hAnsi="Times New Roman" w:eastAsia="仿宋" w:cs="Times New Roman"/>
          <w:color w:val="auto"/>
          <w:kern w:val="2"/>
          <w:sz w:val="28"/>
          <w:szCs w:val="28"/>
          <w:lang w:val="en-US" w:eastAsia="zh-CN" w:bidi="ar-SA"/>
        </w:rPr>
        <w:t>）</w:t>
      </w:r>
    </w:p>
    <w:p w14:paraId="0BFC1E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式中：</w:t>
      </w:r>
    </w:p>
    <w:p w14:paraId="623A6540">
      <w:pPr>
        <w:spacing w:line="360" w:lineRule="auto"/>
        <w:ind w:firstLine="480" w:firstLineChars="200"/>
        <w:rPr>
          <w:rFonts w:hint="eastAsia" w:ascii="宋体" w:hAnsi="宋体" w:eastAsia="宋体" w:cs="宋体"/>
          <w:sz w:val="24"/>
          <w:szCs w:val="24"/>
        </w:rPr>
      </w:pPr>
      <w:r>
        <w:rPr>
          <w:rFonts w:hint="eastAsia" w:ascii="宋体" w:hAnsi="宋体" w:eastAsia="宋体" w:cs="宋体"/>
          <w:i/>
          <w:iCs/>
          <w:sz w:val="24"/>
          <w:szCs w:val="24"/>
        </w:rPr>
        <w:t>CFP</w:t>
      </w:r>
      <w:r>
        <w:rPr>
          <w:rFonts w:hint="eastAsia" w:ascii="宋体" w:hAnsi="宋体" w:eastAsia="宋体" w:cs="宋体"/>
          <w:sz w:val="24"/>
          <w:szCs w:val="24"/>
        </w:rPr>
        <w:t>——</w:t>
      </w:r>
      <w:r>
        <w:rPr>
          <w:rFonts w:hint="default" w:ascii="Times New Roman Regular" w:hAnsi="Times New Roman Regular" w:eastAsia="宋体" w:cs="Times New Roman Regular"/>
          <w:sz w:val="24"/>
          <w:szCs w:val="24"/>
        </w:rPr>
        <w:t>产品碳足迹或产品部分碳足迹，以千克二氧化碳当量每功能单位或声明单位（kgCO</w:t>
      </w:r>
      <w:r>
        <w:rPr>
          <w:rFonts w:hint="default" w:ascii="Times New Roman Regular" w:hAnsi="Times New Roman Regular" w:eastAsia="宋体" w:cs="Times New Roman Regular"/>
          <w:sz w:val="24"/>
          <w:szCs w:val="24"/>
          <w:vertAlign w:val="subscript"/>
        </w:rPr>
        <w:t>2</w:t>
      </w:r>
      <w:r>
        <w:rPr>
          <w:rFonts w:hint="default" w:ascii="Times New Roman Regular" w:hAnsi="Times New Roman Regular" w:eastAsia="宋体" w:cs="Times New Roman Regular"/>
          <w:sz w:val="24"/>
          <w:szCs w:val="24"/>
        </w:rPr>
        <w:t>e/功能单位或声明单位）计；</w:t>
      </w:r>
    </w:p>
    <w:p w14:paraId="754B2036">
      <w:pPr>
        <w:spacing w:line="360" w:lineRule="auto"/>
        <w:ind w:firstLine="480" w:firstLineChars="200"/>
        <w:rPr>
          <w:rFonts w:hint="eastAsia" w:ascii="宋体" w:hAnsi="宋体" w:eastAsia="宋体" w:cs="宋体"/>
          <w:sz w:val="24"/>
          <w:szCs w:val="24"/>
        </w:rPr>
      </w:pPr>
      <w:r>
        <w:rPr>
          <w:rFonts w:hint="eastAsia" w:ascii="宋体" w:hAnsi="宋体" w:eastAsia="宋体" w:cs="宋体"/>
          <w:i/>
          <w:iCs/>
          <w:sz w:val="24"/>
          <w:szCs w:val="24"/>
        </w:rPr>
        <w:t>AD</w:t>
      </w:r>
      <w:r>
        <w:rPr>
          <w:rFonts w:hint="eastAsia" w:ascii="宋体" w:hAnsi="宋体" w:eastAsia="宋体" w:cs="宋体"/>
          <w:i/>
          <w:iCs/>
          <w:sz w:val="24"/>
          <w:szCs w:val="24"/>
          <w:vertAlign w:val="subscript"/>
        </w:rPr>
        <w:t>i</w:t>
      </w:r>
      <w:r>
        <w:rPr>
          <w:rFonts w:hint="eastAsia" w:ascii="宋体" w:hAnsi="宋体" w:eastAsia="宋体" w:cs="宋体"/>
          <w:sz w:val="24"/>
          <w:szCs w:val="24"/>
        </w:rPr>
        <w:t>——</w:t>
      </w:r>
      <w:r>
        <w:rPr>
          <w:rFonts w:hint="default" w:ascii="Times New Roman Regular" w:hAnsi="Times New Roman Regular" w:eastAsia="宋体" w:cs="Times New Roman Regular"/>
          <w:i w:val="0"/>
          <w:sz w:val="24"/>
          <w:szCs w:val="24"/>
        </w:rPr>
        <w:t>系统边界内，各功能单位（声明单位）中第</w:t>
      </w:r>
      <w:r>
        <w:rPr>
          <w:rFonts w:hint="default" w:ascii="Times New Roman Regular" w:hAnsi="Times New Roman Regular" w:eastAsia="宋体" w:cs="Times New Roman Regular"/>
          <w:i w:val="0"/>
          <w:iCs/>
          <w:sz w:val="24"/>
          <w:szCs w:val="24"/>
        </w:rPr>
        <w:t>i</w:t>
      </w:r>
      <w:r>
        <w:rPr>
          <w:rFonts w:hint="default" w:ascii="Times New Roman Regular" w:hAnsi="Times New Roman Regular" w:eastAsia="宋体" w:cs="Times New Roman Regular"/>
          <w:i w:val="0"/>
          <w:sz w:val="24"/>
          <w:szCs w:val="24"/>
        </w:rPr>
        <w:t>种活动的GHG排放和清除相关数据（包括初级数据和次级数据），单位根据具体排放源确定；</w:t>
      </w:r>
    </w:p>
    <w:p w14:paraId="5E1FC142">
      <w:pPr>
        <w:spacing w:line="360" w:lineRule="auto"/>
        <w:ind w:firstLine="480" w:firstLineChars="200"/>
        <w:rPr>
          <w:rFonts w:hint="default" w:ascii="Times New Roman Regular" w:hAnsi="Times New Roman Regular" w:eastAsia="宋体" w:cs="Times New Roman Regular"/>
          <w:i w:val="0"/>
          <w:sz w:val="24"/>
          <w:szCs w:val="24"/>
        </w:rPr>
      </w:pPr>
      <w:r>
        <w:rPr>
          <w:rFonts w:hint="eastAsia" w:ascii="宋体" w:hAnsi="宋体" w:eastAsia="宋体" w:cs="宋体"/>
          <w:i/>
          <w:iCs/>
          <w:sz w:val="24"/>
          <w:szCs w:val="24"/>
        </w:rPr>
        <w:t>EF</w:t>
      </w:r>
      <w:r>
        <w:rPr>
          <w:rFonts w:hint="eastAsia" w:ascii="宋体" w:hAnsi="宋体" w:eastAsia="宋体" w:cs="宋体"/>
          <w:i/>
          <w:iCs/>
          <w:sz w:val="24"/>
          <w:szCs w:val="24"/>
          <w:vertAlign w:val="subscript"/>
        </w:rPr>
        <w:t>i,j</w:t>
      </w:r>
      <w:r>
        <w:rPr>
          <w:rFonts w:hint="eastAsia" w:ascii="宋体" w:hAnsi="宋体" w:eastAsia="宋体" w:cs="宋体"/>
          <w:sz w:val="24"/>
          <w:szCs w:val="24"/>
        </w:rPr>
        <w:t>——</w:t>
      </w:r>
      <w:r>
        <w:rPr>
          <w:rFonts w:hint="default" w:ascii="Times New Roman Regular" w:hAnsi="Times New Roman Regular" w:eastAsia="宋体" w:cs="Times New Roman Regular"/>
          <w:i w:val="0"/>
          <w:sz w:val="24"/>
          <w:szCs w:val="24"/>
        </w:rPr>
        <w:t>第</w:t>
      </w:r>
      <w:r>
        <w:rPr>
          <w:rFonts w:hint="default" w:ascii="Times New Roman Regular" w:hAnsi="Times New Roman Regular" w:eastAsia="宋体" w:cs="Times New Roman Regular"/>
          <w:i w:val="0"/>
          <w:iCs/>
          <w:sz w:val="24"/>
          <w:szCs w:val="24"/>
        </w:rPr>
        <w:t>i</w:t>
      </w:r>
      <w:r>
        <w:rPr>
          <w:rFonts w:hint="default" w:ascii="Times New Roman Regular" w:hAnsi="Times New Roman Regular" w:eastAsia="宋体" w:cs="Times New Roman Regular"/>
          <w:i w:val="0"/>
          <w:sz w:val="24"/>
          <w:szCs w:val="24"/>
        </w:rPr>
        <w:t>种活动对应的温室气体</w:t>
      </w:r>
      <w:r>
        <w:rPr>
          <w:rFonts w:hint="default" w:ascii="Times New Roman Regular" w:hAnsi="Times New Roman Regular" w:eastAsia="宋体" w:cs="Times New Roman Regular"/>
          <w:i w:val="0"/>
          <w:iCs/>
          <w:sz w:val="24"/>
          <w:szCs w:val="24"/>
        </w:rPr>
        <w:t>j</w:t>
      </w:r>
      <w:r>
        <w:rPr>
          <w:rFonts w:hint="default" w:ascii="Times New Roman Regular" w:hAnsi="Times New Roman Regular" w:eastAsia="宋体" w:cs="Times New Roman Regular"/>
          <w:i w:val="0"/>
          <w:sz w:val="24"/>
          <w:szCs w:val="24"/>
        </w:rPr>
        <w:t>的排放因子数据，单位与GHG活动数据相匹配；</w:t>
      </w:r>
    </w:p>
    <w:p w14:paraId="0345F4BF">
      <w:pPr>
        <w:spacing w:line="360" w:lineRule="auto"/>
        <w:ind w:firstLine="480" w:firstLineChars="200"/>
        <w:rPr>
          <w:rFonts w:hint="default" w:ascii="Times New Roman Regular" w:hAnsi="Times New Roman Regular" w:eastAsia="宋体" w:cs="Times New Roman Regular"/>
          <w:i w:val="0"/>
          <w:sz w:val="24"/>
          <w:szCs w:val="24"/>
        </w:rPr>
      </w:pPr>
      <w:r>
        <w:rPr>
          <w:rFonts w:hint="eastAsia" w:ascii="宋体" w:hAnsi="宋体" w:eastAsia="宋体" w:cs="宋体"/>
          <w:i/>
          <w:iCs/>
          <w:sz w:val="24"/>
          <w:szCs w:val="24"/>
        </w:rPr>
        <w:t>GWP</w:t>
      </w:r>
      <w:r>
        <w:rPr>
          <w:rFonts w:hint="eastAsia" w:ascii="宋体" w:hAnsi="宋体" w:eastAsia="宋体" w:cs="宋体"/>
          <w:i/>
          <w:iCs/>
          <w:sz w:val="24"/>
          <w:szCs w:val="24"/>
          <w:vertAlign w:val="subscript"/>
        </w:rPr>
        <w:t>j</w:t>
      </w:r>
      <w:r>
        <w:rPr>
          <w:rFonts w:hint="eastAsia" w:ascii="宋体" w:hAnsi="宋体" w:eastAsia="宋体" w:cs="宋体"/>
          <w:sz w:val="24"/>
          <w:szCs w:val="24"/>
        </w:rPr>
        <w:t>——</w:t>
      </w:r>
      <w:r>
        <w:rPr>
          <w:rFonts w:hint="default" w:ascii="Times New Roman Regular" w:hAnsi="Times New Roman Regular" w:eastAsia="宋体" w:cs="Times New Roman Regular"/>
          <w:i w:val="0"/>
          <w:sz w:val="24"/>
          <w:szCs w:val="24"/>
        </w:rPr>
        <w:t>温室气体</w:t>
      </w:r>
      <w:r>
        <w:rPr>
          <w:rFonts w:hint="default" w:ascii="Times New Roman Regular" w:hAnsi="Times New Roman Regular" w:eastAsia="宋体" w:cs="Times New Roman Regular"/>
          <w:i w:val="0"/>
          <w:iCs/>
          <w:sz w:val="24"/>
          <w:szCs w:val="24"/>
        </w:rPr>
        <w:t>j</w:t>
      </w:r>
      <w:r>
        <w:rPr>
          <w:rFonts w:hint="default" w:ascii="Times New Roman Regular" w:hAnsi="Times New Roman Regular" w:eastAsia="宋体" w:cs="Times New Roman Regular"/>
          <w:i w:val="0"/>
          <w:sz w:val="24"/>
          <w:szCs w:val="24"/>
        </w:rPr>
        <w:t>的全球变暖潜势值。</w:t>
      </w:r>
    </w:p>
    <w:p w14:paraId="5D1C27EA">
      <w:pPr>
        <w:spacing w:line="360" w:lineRule="auto"/>
        <w:ind w:firstLine="480" w:firstLineChars="200"/>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rPr>
        <w:t>注：本报告采用2021年IPCC第六次评估报告AR6值。</w:t>
      </w:r>
    </w:p>
    <w:p w14:paraId="7E93EE91">
      <w:pPr>
        <w:spacing w:line="360" w:lineRule="auto"/>
        <w:ind w:firstLine="480" w:firstLineChars="200"/>
        <w:rPr>
          <w:rFonts w:hint="default" w:ascii="Times New Roman Regular" w:hAnsi="Times New Roman Regular" w:eastAsia="宋体" w:cs="Times New Roman Regular"/>
          <w:sz w:val="24"/>
          <w:szCs w:val="24"/>
        </w:rPr>
      </w:pPr>
      <w:r>
        <w:rPr>
          <w:rFonts w:hint="default" w:ascii="Times New Roman Regular" w:hAnsi="Times New Roman Regular" w:eastAsia="宋体" w:cs="Times New Roman Regular"/>
          <w:sz w:val="24"/>
          <w:szCs w:val="24"/>
          <w:lang w:val="en-US" w:eastAsia="zh-CN"/>
        </w:rPr>
        <w:t>本研究采用S</w:t>
      </w:r>
      <w:r>
        <w:rPr>
          <w:rFonts w:hint="eastAsia" w:ascii="Times New Roman Regular" w:hAnsi="Times New Roman Regular" w:eastAsia="宋体" w:cs="Times New Roman Regular"/>
          <w:sz w:val="24"/>
          <w:szCs w:val="24"/>
          <w:lang w:val="en-US" w:eastAsia="zh-CN"/>
        </w:rPr>
        <w:t>imapro软件</w:t>
      </w:r>
      <w:r>
        <w:rPr>
          <w:rFonts w:hint="default" w:ascii="Times New Roman Regular" w:hAnsi="Times New Roman Regular" w:eastAsia="宋体" w:cs="Times New Roman Regular"/>
          <w:sz w:val="24"/>
          <w:szCs w:val="24"/>
          <w:lang w:val="en-US" w:eastAsia="zh-CN"/>
        </w:rPr>
        <w:t>，建立了</w:t>
      </w:r>
      <w:r>
        <w:rPr>
          <w:rFonts w:hint="eastAsia" w:ascii="Times New Roman Regular" w:hAnsi="Times New Roman Regular" w:eastAsia="宋体" w:cs="Times New Roman Regular"/>
          <w:sz w:val="24"/>
          <w:szCs w:val="24"/>
          <w:lang w:eastAsia="zh-CN"/>
        </w:rPr>
        <w:t>树脂锚固剂</w:t>
      </w:r>
      <w:r>
        <w:rPr>
          <w:rFonts w:hint="default" w:ascii="Times New Roman Regular" w:hAnsi="Times New Roman Regular" w:eastAsia="宋体" w:cs="Times New Roman Regular"/>
          <w:sz w:val="24"/>
          <w:szCs w:val="24"/>
          <w:lang w:val="en-US" w:eastAsia="zh-CN"/>
        </w:rPr>
        <w:t>的LCA模型，以</w:t>
      </w:r>
      <w:r>
        <w:rPr>
          <w:rFonts w:hint="eastAsia" w:ascii="Times New Roman Regular" w:hAnsi="Times New Roman Regular" w:eastAsia="宋体" w:cs="Times New Roman Regular"/>
          <w:sz w:val="24"/>
          <w:szCs w:val="24"/>
          <w:lang w:val="en-US" w:eastAsia="zh-CN"/>
        </w:rPr>
        <w:t>件</w:t>
      </w:r>
      <w:r>
        <w:rPr>
          <w:rFonts w:hint="default" w:ascii="Times New Roman Regular" w:hAnsi="Times New Roman Regular" w:eastAsia="宋体" w:cs="Times New Roman Regular"/>
          <w:sz w:val="24"/>
          <w:szCs w:val="24"/>
          <w:lang w:val="en-US" w:eastAsia="zh-CN"/>
        </w:rPr>
        <w:t>为声明单位，收集了相关信息，</w:t>
      </w:r>
      <w:r>
        <w:rPr>
          <w:rFonts w:hint="default" w:ascii="Times New Roman Regular" w:hAnsi="Times New Roman Regular" w:eastAsia="宋体" w:cs="Times New Roman Regular"/>
          <w:sz w:val="24"/>
          <w:szCs w:val="24"/>
        </w:rPr>
        <w:t>对生命周期各阶段的活动水平数据和排放因子数据汇总计算，得到1</w:t>
      </w:r>
      <w:r>
        <w:rPr>
          <w:rFonts w:hint="eastAsia" w:ascii="Times New Roman Regular" w:hAnsi="Times New Roman Regular" w:eastAsia="宋体" w:cs="Times New Roman Regular"/>
          <w:sz w:val="24"/>
          <w:szCs w:val="24"/>
          <w:lang w:val="en-US" w:eastAsia="zh-CN"/>
        </w:rPr>
        <w:t>吨</w:t>
      </w:r>
      <w:r>
        <w:rPr>
          <w:rFonts w:hint="default" w:ascii="Times New Roman Regular" w:hAnsi="Times New Roman Regular" w:eastAsia="宋体" w:cs="Times New Roman Regular"/>
          <w:sz w:val="24"/>
          <w:szCs w:val="24"/>
        </w:rPr>
        <w:t>的</w:t>
      </w:r>
      <w:r>
        <w:rPr>
          <w:rFonts w:hint="eastAsia" w:ascii="Times New Roman Regular" w:hAnsi="Times New Roman Regular" w:eastAsia="宋体" w:cs="Times New Roman Regular"/>
          <w:sz w:val="24"/>
          <w:szCs w:val="24"/>
          <w:lang w:eastAsia="zh-CN"/>
        </w:rPr>
        <w:t>树脂锚固剂</w:t>
      </w:r>
      <w:r>
        <w:rPr>
          <w:rFonts w:hint="default" w:ascii="Times New Roman Regular" w:hAnsi="Times New Roman Regular" w:eastAsia="宋体" w:cs="Times New Roman Regular"/>
          <w:sz w:val="24"/>
          <w:szCs w:val="24"/>
        </w:rPr>
        <w:t>产品的碳足迹为</w:t>
      </w:r>
      <w:r>
        <w:rPr>
          <w:rFonts w:hint="eastAsia" w:ascii="Times New Roman Regular" w:hAnsi="Times New Roman Regular" w:eastAsia="宋体" w:cs="Times New Roman Regular"/>
          <w:sz w:val="24"/>
          <w:szCs w:val="24"/>
          <w:lang w:val="en-US" w:eastAsia="zh-CN"/>
        </w:rPr>
        <w:t>1047.29kg</w:t>
      </w:r>
      <w:r>
        <w:rPr>
          <w:rFonts w:hint="default" w:ascii="Times New Roman Regular" w:hAnsi="Times New Roman Regular" w:eastAsia="宋体" w:cs="Times New Roman Regular"/>
          <w:sz w:val="24"/>
          <w:szCs w:val="24"/>
        </w:rPr>
        <w:t>CO</w:t>
      </w:r>
      <w:r>
        <w:rPr>
          <w:rFonts w:hint="default" w:ascii="Times New Roman Regular" w:hAnsi="Times New Roman Regular" w:eastAsia="宋体" w:cs="Times New Roman Regular"/>
          <w:sz w:val="24"/>
          <w:szCs w:val="24"/>
          <w:vertAlign w:val="subscript"/>
        </w:rPr>
        <w:t>2</w:t>
      </w:r>
      <w:r>
        <w:rPr>
          <w:rFonts w:hint="default" w:ascii="Times New Roman Regular" w:hAnsi="Times New Roman Regular" w:eastAsia="宋体" w:cs="Times New Roman Regular"/>
          <w:sz w:val="24"/>
          <w:szCs w:val="24"/>
        </w:rPr>
        <w:t>e,具体结果如下：</w:t>
      </w:r>
    </w:p>
    <w:p w14:paraId="403ADD56">
      <w:pPr>
        <w:pStyle w:val="12"/>
        <w:spacing w:line="360" w:lineRule="auto"/>
        <w:jc w:val="center"/>
        <w:rPr>
          <w:rFonts w:hint="eastAsia" w:ascii="Times New Roman" w:hAnsi="Times New Roman" w:eastAsia="宋体" w:cs="宋体"/>
          <w:i w:val="0"/>
          <w:iCs w:val="0"/>
          <w:color w:val="auto"/>
          <w:sz w:val="21"/>
        </w:rPr>
      </w:pPr>
      <w:r>
        <w:rPr>
          <w:rFonts w:hint="eastAsia" w:ascii="Times New Roman" w:hAnsi="Times New Roman" w:eastAsia="宋体" w:cs="宋体"/>
          <w:i w:val="0"/>
          <w:iCs w:val="0"/>
          <w:color w:val="auto"/>
          <w:sz w:val="21"/>
        </w:rPr>
        <w:t>表5</w:t>
      </w:r>
      <w:r>
        <w:rPr>
          <w:rFonts w:hint="default" w:ascii="Times New Roman" w:hAnsi="Times New Roman" w:eastAsia="宋体" w:cs="宋体"/>
          <w:i w:val="0"/>
          <w:iCs w:val="0"/>
          <w:color w:val="auto"/>
          <w:sz w:val="21"/>
          <w:lang w:val="en-US"/>
        </w:rPr>
        <w:t>-</w:t>
      </w:r>
      <w:r>
        <w:rPr>
          <w:rFonts w:hint="eastAsia" w:ascii="Times New Roman" w:hAnsi="Times New Roman" w:eastAsia="宋体" w:cs="宋体"/>
          <w:i w:val="0"/>
          <w:iCs w:val="0"/>
          <w:color w:val="auto"/>
          <w:sz w:val="21"/>
        </w:rPr>
        <w:t>1 产品碳足迹结果计算</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4"/>
        <w:gridCol w:w="1925"/>
        <w:gridCol w:w="1925"/>
        <w:gridCol w:w="1925"/>
      </w:tblGrid>
      <w:tr w14:paraId="4498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10" w:type="pct"/>
            <w:vAlign w:val="center"/>
          </w:tcPr>
          <w:p w14:paraId="631E8050">
            <w:pPr>
              <w:keepNext w:val="0"/>
              <w:keepLines w:val="0"/>
              <w:suppressLineNumbers w:val="0"/>
              <w:spacing w:before="0" w:beforeAutospacing="0" w:after="0" w:afterAutospacing="0" w:line="360" w:lineRule="auto"/>
              <w:ind w:left="0" w:right="0"/>
              <w:jc w:val="center"/>
              <w:rPr>
                <w:rFonts w:hint="default" w:ascii="Times New Roman Regular" w:hAnsi="Times New Roman Regular" w:eastAsia="宋体" w:cs="Times New Roman Regular"/>
                <w:szCs w:val="21"/>
              </w:rPr>
            </w:pPr>
            <w:r>
              <w:rPr>
                <w:rFonts w:hint="default" w:ascii="Times New Roman Regular" w:hAnsi="Times New Roman Regular" w:eastAsia="宋体" w:cs="Times New Roman Regular"/>
                <w:szCs w:val="21"/>
              </w:rPr>
              <w:t>生命周期阶段</w:t>
            </w:r>
          </w:p>
        </w:tc>
        <w:tc>
          <w:tcPr>
            <w:tcW w:w="1129" w:type="pct"/>
            <w:vAlign w:val="center"/>
          </w:tcPr>
          <w:p w14:paraId="242D7121">
            <w:pPr>
              <w:keepNext w:val="0"/>
              <w:keepLines w:val="0"/>
              <w:suppressLineNumbers w:val="0"/>
              <w:spacing w:before="0" w:beforeAutospacing="0" w:after="0" w:afterAutospacing="0" w:line="360" w:lineRule="auto"/>
              <w:ind w:left="0" w:right="0"/>
              <w:jc w:val="center"/>
              <w:rPr>
                <w:rFonts w:hint="default" w:ascii="Times New Roman Regular" w:hAnsi="Times New Roman Regular" w:eastAsia="宋体" w:cs="Times New Roman Regular"/>
                <w:szCs w:val="21"/>
                <w:lang w:val="en-US" w:eastAsia="zh-CN"/>
              </w:rPr>
            </w:pPr>
            <w:r>
              <w:rPr>
                <w:rFonts w:hint="default" w:ascii="Times New Roman Regular" w:hAnsi="Times New Roman Regular" w:eastAsia="宋体" w:cs="Times New Roman Regular"/>
                <w:szCs w:val="21"/>
              </w:rPr>
              <w:t>原材料</w:t>
            </w:r>
            <w:r>
              <w:rPr>
                <w:rFonts w:hint="default" w:ascii="Times New Roman Regular" w:hAnsi="Times New Roman Regular" w:eastAsia="宋体" w:cs="Times New Roman Regular"/>
                <w:szCs w:val="21"/>
                <w:lang w:val="en-US" w:eastAsia="zh-CN"/>
              </w:rPr>
              <w:t>获取</w:t>
            </w:r>
          </w:p>
        </w:tc>
        <w:tc>
          <w:tcPr>
            <w:tcW w:w="1129" w:type="pct"/>
            <w:vAlign w:val="center"/>
          </w:tcPr>
          <w:p w14:paraId="6DAF0D27">
            <w:pPr>
              <w:keepNext w:val="0"/>
              <w:keepLines w:val="0"/>
              <w:suppressLineNumbers w:val="0"/>
              <w:spacing w:before="0" w:beforeAutospacing="0" w:after="0" w:afterAutospacing="0" w:line="360" w:lineRule="auto"/>
              <w:ind w:left="0" w:right="0"/>
              <w:jc w:val="center"/>
              <w:rPr>
                <w:rFonts w:hint="default" w:ascii="Times New Roman Regular" w:hAnsi="Times New Roman Regular" w:eastAsia="宋体" w:cs="Times New Roman Regular"/>
                <w:szCs w:val="21"/>
                <w:lang w:val="en-US" w:eastAsia="zh-CN"/>
              </w:rPr>
            </w:pPr>
            <w:r>
              <w:rPr>
                <w:rFonts w:hint="default" w:ascii="Times New Roman Regular" w:hAnsi="Times New Roman Regular" w:eastAsia="宋体" w:cs="Times New Roman Regular"/>
                <w:szCs w:val="21"/>
                <w:lang w:val="en-US" w:eastAsia="zh-CN"/>
              </w:rPr>
              <w:t>生产加工</w:t>
            </w:r>
          </w:p>
        </w:tc>
        <w:tc>
          <w:tcPr>
            <w:tcW w:w="1129" w:type="pct"/>
            <w:vAlign w:val="center"/>
          </w:tcPr>
          <w:p w14:paraId="0E8FFAE3">
            <w:pPr>
              <w:keepNext w:val="0"/>
              <w:keepLines w:val="0"/>
              <w:suppressLineNumbers w:val="0"/>
              <w:spacing w:before="0" w:beforeAutospacing="0" w:after="0" w:afterAutospacing="0" w:line="360" w:lineRule="auto"/>
              <w:ind w:left="0" w:right="0"/>
              <w:jc w:val="center"/>
              <w:rPr>
                <w:rFonts w:hint="default" w:ascii="Times New Roman Regular" w:hAnsi="Times New Roman Regular" w:eastAsia="宋体" w:cs="Times New Roman Regular"/>
                <w:szCs w:val="21"/>
              </w:rPr>
            </w:pPr>
            <w:r>
              <w:rPr>
                <w:rFonts w:hint="default" w:ascii="Times New Roman Regular" w:hAnsi="Times New Roman Regular" w:eastAsia="宋体" w:cs="Times New Roman Regular"/>
                <w:szCs w:val="21"/>
              </w:rPr>
              <w:t>合计</w:t>
            </w:r>
          </w:p>
        </w:tc>
      </w:tr>
      <w:tr w14:paraId="6C38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pct"/>
            <w:vAlign w:val="center"/>
          </w:tcPr>
          <w:p w14:paraId="55569884">
            <w:pPr>
              <w:keepNext w:val="0"/>
              <w:keepLines w:val="0"/>
              <w:suppressLineNumbers w:val="0"/>
              <w:spacing w:before="0" w:beforeAutospacing="0" w:after="0" w:afterAutospacing="0" w:line="360" w:lineRule="auto"/>
              <w:ind w:left="0" w:right="0"/>
              <w:jc w:val="center"/>
              <w:rPr>
                <w:rFonts w:hint="default" w:ascii="Times New Roman Regular" w:hAnsi="Times New Roman Regular" w:eastAsia="宋体" w:cs="Times New Roman Regular"/>
                <w:szCs w:val="21"/>
                <w:lang w:val="en-US"/>
              </w:rPr>
            </w:pPr>
            <w:r>
              <w:rPr>
                <w:rFonts w:hint="default" w:ascii="Times New Roman Regular" w:hAnsi="Times New Roman Regular" w:eastAsia="宋体" w:cs="Times New Roman Regular"/>
                <w:szCs w:val="21"/>
                <w:lang w:val="en-US"/>
              </w:rPr>
              <w:t>排放量</w:t>
            </w:r>
          </w:p>
          <w:p w14:paraId="2B77CE25">
            <w:pPr>
              <w:keepNext w:val="0"/>
              <w:keepLines w:val="0"/>
              <w:suppressLineNumbers w:val="0"/>
              <w:spacing w:before="0" w:beforeAutospacing="0" w:after="0" w:afterAutospacing="0" w:line="360" w:lineRule="auto"/>
              <w:ind w:left="0" w:right="0"/>
              <w:jc w:val="center"/>
              <w:rPr>
                <w:rFonts w:hint="default" w:ascii="Times New Roman Regular" w:hAnsi="Times New Roman Regular" w:eastAsia="宋体" w:cs="Times New Roman Regular"/>
                <w:szCs w:val="21"/>
                <w:lang w:val="en-US"/>
              </w:rPr>
            </w:pPr>
            <w:r>
              <w:rPr>
                <w:rFonts w:hint="default" w:ascii="Times New Roman Regular" w:hAnsi="Times New Roman Regular" w:eastAsia="宋体" w:cs="Times New Roman Regular"/>
                <w:szCs w:val="21"/>
                <w:lang w:val="en-US"/>
              </w:rPr>
              <w:t>（kgCO2e）</w:t>
            </w:r>
          </w:p>
        </w:tc>
        <w:tc>
          <w:tcPr>
            <w:tcW w:w="1129" w:type="pct"/>
            <w:vAlign w:val="center"/>
          </w:tcPr>
          <w:p w14:paraId="2E2C38F6">
            <w:pPr>
              <w:keepNext w:val="0"/>
              <w:keepLines w:val="0"/>
              <w:suppressLineNumbers w:val="0"/>
              <w:spacing w:before="0" w:beforeAutospacing="0" w:after="0" w:afterAutospacing="0" w:line="360" w:lineRule="auto"/>
              <w:ind w:left="0" w:right="0"/>
              <w:jc w:val="center"/>
              <w:rPr>
                <w:rFonts w:hint="default" w:ascii="Times New Roman Regular" w:hAnsi="Times New Roman Regular" w:eastAsia="宋体" w:cs="Times New Roman Regular"/>
                <w:szCs w:val="21"/>
                <w:lang w:val="en-US"/>
              </w:rPr>
            </w:pPr>
            <w:r>
              <w:rPr>
                <w:rFonts w:hint="default" w:ascii="Times New Roman Regular" w:hAnsi="Times New Roman Regular" w:eastAsia="宋体" w:cs="Times New Roman Regular"/>
                <w:szCs w:val="21"/>
                <w:lang w:val="en-US"/>
              </w:rPr>
              <w:t>961.97</w:t>
            </w:r>
          </w:p>
        </w:tc>
        <w:tc>
          <w:tcPr>
            <w:tcW w:w="1129" w:type="pct"/>
            <w:vAlign w:val="center"/>
          </w:tcPr>
          <w:p w14:paraId="2174EDDF">
            <w:pPr>
              <w:keepNext w:val="0"/>
              <w:keepLines w:val="0"/>
              <w:suppressLineNumbers w:val="0"/>
              <w:spacing w:before="0" w:beforeAutospacing="0" w:after="0" w:afterAutospacing="0" w:line="360" w:lineRule="auto"/>
              <w:ind w:left="0" w:right="0"/>
              <w:jc w:val="center"/>
              <w:rPr>
                <w:rFonts w:hint="default" w:ascii="Times New Roman Regular" w:hAnsi="Times New Roman Regular" w:eastAsia="宋体" w:cs="Times New Roman Regular"/>
                <w:szCs w:val="21"/>
                <w:lang w:val="en-US" w:eastAsia="zh-CN"/>
              </w:rPr>
            </w:pPr>
            <w:r>
              <w:rPr>
                <w:rFonts w:hint="default" w:ascii="Times New Roman Regular" w:hAnsi="Times New Roman Regular" w:eastAsia="宋体" w:cs="Times New Roman Regular"/>
                <w:szCs w:val="21"/>
                <w:lang w:val="en-US"/>
              </w:rPr>
              <w:t>85.32</w:t>
            </w:r>
          </w:p>
        </w:tc>
        <w:tc>
          <w:tcPr>
            <w:tcW w:w="1129" w:type="pct"/>
            <w:vAlign w:val="center"/>
          </w:tcPr>
          <w:p w14:paraId="69CCADE4">
            <w:pPr>
              <w:keepNext w:val="0"/>
              <w:keepLines w:val="0"/>
              <w:suppressLineNumbers w:val="0"/>
              <w:spacing w:before="0" w:beforeAutospacing="0" w:after="0" w:afterAutospacing="0" w:line="360" w:lineRule="auto"/>
              <w:ind w:left="0" w:right="0"/>
              <w:jc w:val="center"/>
              <w:rPr>
                <w:rFonts w:hint="eastAsia" w:ascii="Times New Roman Regular" w:hAnsi="Times New Roman Regular" w:eastAsia="宋体" w:cs="Times New Roman Regular"/>
                <w:szCs w:val="21"/>
                <w:lang w:val="en-US" w:eastAsia="zh-CN"/>
              </w:rPr>
            </w:pPr>
            <w:r>
              <w:rPr>
                <w:rFonts w:hint="eastAsia" w:ascii="Times New Roman Regular" w:hAnsi="Times New Roman Regular" w:eastAsia="宋体" w:cs="Times New Roman Regular"/>
                <w:szCs w:val="21"/>
                <w:lang w:val="en-US" w:eastAsia="zh-CN"/>
              </w:rPr>
              <w:t>1047.29</w:t>
            </w:r>
          </w:p>
        </w:tc>
      </w:tr>
    </w:tbl>
    <w:p w14:paraId="7F427743">
      <w:pPr>
        <w:pStyle w:val="17"/>
        <w:rPr>
          <w:rFonts w:hint="eastAsia"/>
        </w:rPr>
      </w:pPr>
    </w:p>
    <w:p w14:paraId="39BC9843">
      <w:pPr>
        <w:pStyle w:val="2"/>
        <w:keepNext w:val="0"/>
        <w:keepLines w:val="0"/>
        <w:numPr>
          <w:ilvl w:val="0"/>
          <w:numId w:val="1"/>
        </w:numPr>
        <w:spacing w:before="80" w:line="360" w:lineRule="auto"/>
        <w:ind w:left="442" w:hanging="442"/>
        <w:rPr>
          <w:rFonts w:ascii="Times New Roman" w:hAnsi="Times New Roman" w:eastAsia="宋体"/>
          <w:b/>
          <w:bCs/>
          <w:color w:val="auto"/>
          <w:sz w:val="32"/>
          <w:szCs w:val="32"/>
        </w:rPr>
      </w:pPr>
      <w:bookmarkStart w:id="22" w:name="_Toc3706"/>
      <w:r>
        <w:rPr>
          <w:rFonts w:hint="eastAsia" w:ascii="Times New Roman" w:hAnsi="Times New Roman" w:eastAsia="宋体"/>
          <w:b/>
          <w:bCs/>
          <w:color w:val="auto"/>
          <w:sz w:val="32"/>
          <w:szCs w:val="32"/>
        </w:rPr>
        <w:t>结果解释</w:t>
      </w:r>
      <w:bookmarkEnd w:id="22"/>
    </w:p>
    <w:p w14:paraId="132A0DCC">
      <w:pPr>
        <w:pStyle w:val="3"/>
        <w:keepNext w:val="0"/>
        <w:keepLines w:val="0"/>
        <w:numPr>
          <w:ilvl w:val="0"/>
          <w:numId w:val="8"/>
        </w:numPr>
        <w:spacing w:before="80" w:line="360" w:lineRule="auto"/>
        <w:rPr>
          <w:rFonts w:ascii="Times New Roman" w:hAnsi="Times New Roman" w:eastAsia="宋体"/>
          <w:b/>
          <w:bCs/>
          <w:color w:val="auto"/>
          <w:sz w:val="28"/>
          <w:szCs w:val="28"/>
        </w:rPr>
      </w:pPr>
      <w:bookmarkStart w:id="23" w:name="_Toc25878"/>
      <w:r>
        <w:rPr>
          <w:rFonts w:hint="eastAsia" w:ascii="Times New Roman" w:hAnsi="Times New Roman" w:eastAsia="宋体"/>
          <w:b/>
          <w:bCs/>
          <w:color w:val="auto"/>
          <w:sz w:val="28"/>
          <w:szCs w:val="28"/>
        </w:rPr>
        <w:t>结果说明</w:t>
      </w:r>
      <w:bookmarkEnd w:id="23"/>
    </w:p>
    <w:p w14:paraId="4983022C">
      <w:pPr>
        <w:spacing w:line="360" w:lineRule="auto"/>
        <w:ind w:firstLine="480" w:firstLineChars="200"/>
        <w:rPr>
          <w:rFonts w:hint="eastAsia" w:ascii="Times New Roman" w:hAnsi="Times New Roman" w:eastAsia="宋体"/>
          <w:sz w:val="24"/>
          <w:szCs w:val="28"/>
        </w:rPr>
      </w:pPr>
      <w:r>
        <w:rPr>
          <w:rFonts w:hint="eastAsia" w:ascii="Times New Roman" w:hAnsi="Times New Roman" w:eastAsia="宋体"/>
          <w:i w:val="0"/>
          <w:iCs w:val="0"/>
          <w:color w:val="auto"/>
          <w:sz w:val="24"/>
          <w:szCs w:val="28"/>
          <w:lang w:val="en-US" w:eastAsia="zh-CN"/>
        </w:rPr>
        <w:t>美亚高新材料股份有限公司</w:t>
      </w:r>
      <w:r>
        <w:rPr>
          <w:rFonts w:hint="eastAsia" w:ascii="Times New Roman" w:hAnsi="Times New Roman" w:eastAsia="宋体"/>
          <w:sz w:val="24"/>
          <w:szCs w:val="28"/>
        </w:rPr>
        <w:t>生产的1</w:t>
      </w:r>
      <w:r>
        <w:rPr>
          <w:rFonts w:hint="eastAsia" w:ascii="Times New Roman" w:hAnsi="Times New Roman" w:eastAsia="宋体"/>
          <w:sz w:val="24"/>
          <w:szCs w:val="28"/>
          <w:lang w:val="en-US" w:eastAsia="zh-CN"/>
        </w:rPr>
        <w:t>吨</w:t>
      </w:r>
      <w:r>
        <w:rPr>
          <w:rFonts w:hint="eastAsia" w:ascii="Times New Roman" w:hAnsi="Times New Roman" w:eastAsia="宋体"/>
          <w:sz w:val="24"/>
          <w:szCs w:val="28"/>
          <w:lang w:eastAsia="zh-CN"/>
        </w:rPr>
        <w:t>树脂锚固剂</w:t>
      </w:r>
      <w:r>
        <w:rPr>
          <w:rFonts w:hint="eastAsia" w:ascii="Times New Roman" w:hAnsi="Times New Roman" w:eastAsia="宋体"/>
          <w:sz w:val="24"/>
          <w:szCs w:val="28"/>
        </w:rPr>
        <w:t>，从</w:t>
      </w:r>
      <w:r>
        <w:rPr>
          <w:rFonts w:hint="eastAsia" w:ascii="Times New Roman" w:hAnsi="Times New Roman" w:eastAsia="宋体"/>
          <w:i w:val="0"/>
          <w:iCs w:val="0"/>
          <w:color w:val="auto"/>
          <w:sz w:val="24"/>
          <w:szCs w:val="28"/>
          <w:lang w:val="en-US" w:eastAsia="zh-CN"/>
        </w:rPr>
        <w:t>原材料获取阶段</w:t>
      </w:r>
      <w:r>
        <w:rPr>
          <w:rFonts w:hint="eastAsia" w:ascii="Times New Roman" w:hAnsi="Times New Roman" w:eastAsia="宋体"/>
          <w:i w:val="0"/>
          <w:iCs w:val="0"/>
          <w:color w:val="auto"/>
          <w:sz w:val="24"/>
          <w:szCs w:val="28"/>
        </w:rPr>
        <w:t>到</w:t>
      </w:r>
      <w:r>
        <w:rPr>
          <w:rFonts w:hint="eastAsia" w:ascii="Times New Roman" w:hAnsi="Times New Roman" w:eastAsia="宋体"/>
          <w:i w:val="0"/>
          <w:iCs w:val="0"/>
          <w:color w:val="auto"/>
          <w:sz w:val="24"/>
          <w:szCs w:val="28"/>
          <w:lang w:val="en-US" w:eastAsia="zh-CN"/>
        </w:rPr>
        <w:t>生产阶段</w:t>
      </w:r>
      <w:r>
        <w:rPr>
          <w:rFonts w:hint="eastAsia" w:ascii="Times New Roman" w:hAnsi="Times New Roman" w:eastAsia="宋体"/>
          <w:sz w:val="24"/>
          <w:szCs w:val="28"/>
        </w:rPr>
        <w:t>系统边界的碳足迹为</w:t>
      </w:r>
      <w:r>
        <w:rPr>
          <w:rFonts w:hint="eastAsia" w:ascii="Times New Roman" w:hAnsi="Times New Roman" w:eastAsia="宋体"/>
          <w:sz w:val="24"/>
          <w:szCs w:val="28"/>
          <w:lang w:val="en-US" w:eastAsia="zh-CN"/>
        </w:rPr>
        <w:t>1047.29</w:t>
      </w:r>
      <w:r>
        <w:rPr>
          <w:rFonts w:hint="eastAsia" w:ascii="Times New Roman" w:hAnsi="Times New Roman" w:eastAsia="宋体"/>
          <w:sz w:val="24"/>
          <w:szCs w:val="28"/>
        </w:rPr>
        <w:t xml:space="preserve"> </w:t>
      </w:r>
      <w:r>
        <w:rPr>
          <w:rFonts w:hint="eastAsia" w:ascii="Times New Roman" w:hAnsi="Times New Roman" w:eastAsia="宋体"/>
          <w:sz w:val="24"/>
          <w:szCs w:val="28"/>
          <w:lang w:val="en-US" w:eastAsia="zh-CN"/>
        </w:rPr>
        <w:t>k</w:t>
      </w:r>
      <w:r>
        <w:rPr>
          <w:rFonts w:hint="eastAsia" w:ascii="Times New Roman" w:hAnsi="Times New Roman" w:eastAsia="宋体"/>
          <w:sz w:val="24"/>
          <w:szCs w:val="28"/>
        </w:rPr>
        <w:t>gCO</w:t>
      </w:r>
      <w:r>
        <w:rPr>
          <w:rFonts w:hint="eastAsia" w:ascii="Times New Roman" w:hAnsi="Times New Roman" w:eastAsia="宋体"/>
          <w:sz w:val="24"/>
          <w:szCs w:val="28"/>
          <w:vertAlign w:val="subscript"/>
        </w:rPr>
        <w:t>2</w:t>
      </w:r>
      <w:r>
        <w:rPr>
          <w:rFonts w:hint="eastAsia" w:ascii="Times New Roman" w:hAnsi="Times New Roman" w:eastAsia="宋体"/>
          <w:sz w:val="24"/>
          <w:szCs w:val="28"/>
        </w:rPr>
        <w:t>e。</w:t>
      </w:r>
    </w:p>
    <w:p w14:paraId="1C213DF2">
      <w:pPr>
        <w:spacing w:line="360" w:lineRule="auto"/>
        <w:ind w:firstLine="480" w:firstLineChars="200"/>
        <w:rPr>
          <w:rFonts w:hint="eastAsia" w:ascii="Times New Roman" w:hAnsi="Times New Roman" w:eastAsia="宋体"/>
          <w:sz w:val="24"/>
          <w:szCs w:val="28"/>
          <w:lang w:val="en-US" w:eastAsia="zh-CN"/>
        </w:rPr>
      </w:pPr>
      <w:r>
        <w:rPr>
          <w:rFonts w:hint="eastAsia" w:ascii="Times New Roman" w:hAnsi="Times New Roman" w:eastAsia="宋体"/>
          <w:i w:val="0"/>
          <w:iCs w:val="0"/>
          <w:color w:val="auto"/>
          <w:sz w:val="24"/>
          <w:szCs w:val="28"/>
          <w:lang w:val="en-US" w:eastAsia="zh-CN"/>
        </w:rPr>
        <w:t>原料获取和生产</w:t>
      </w:r>
      <w:r>
        <w:rPr>
          <w:rFonts w:hint="eastAsia" w:ascii="Times New Roman" w:hAnsi="Times New Roman" w:eastAsia="宋体"/>
          <w:sz w:val="24"/>
          <w:szCs w:val="28"/>
          <w:lang w:val="en-US" w:eastAsia="zh-CN"/>
        </w:rPr>
        <w:t>阶段活动数据明细如表6-1。</w:t>
      </w:r>
    </w:p>
    <w:p w14:paraId="643673A7">
      <w:pPr>
        <w:spacing w:line="360" w:lineRule="auto"/>
        <w:jc w:val="center"/>
        <w:rPr>
          <w:rFonts w:hint="eastAsia" w:ascii="Times New Roman" w:hAnsi="Times New Roman" w:eastAsia="宋体"/>
          <w:lang w:val="en-US" w:eastAsia="zh-CN"/>
        </w:rPr>
      </w:pPr>
      <w:r>
        <w:rPr>
          <w:rFonts w:hint="eastAsia" w:ascii="Times New Roman" w:hAnsi="Times New Roman" w:eastAsia="宋体"/>
        </w:rPr>
        <w:t>表6-1 原料获取和生产</w:t>
      </w:r>
      <w:r>
        <w:rPr>
          <w:rFonts w:hint="eastAsia" w:ascii="Times New Roman" w:hAnsi="Times New Roman" w:eastAsia="宋体"/>
          <w:lang w:val="en-US" w:eastAsia="zh-CN"/>
        </w:rPr>
        <w:t>阶段活动数据明细</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2575"/>
        <w:gridCol w:w="2051"/>
        <w:gridCol w:w="2051"/>
      </w:tblGrid>
      <w:tr w14:paraId="2B66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4" w:type="pct"/>
            <w:vAlign w:val="center"/>
          </w:tcPr>
          <w:p w14:paraId="09083987">
            <w:pPr>
              <w:spacing w:line="276" w:lineRule="auto"/>
              <w:jc w:val="center"/>
              <w:rPr>
                <w:rFonts w:ascii="Times New Roman" w:hAnsi="Times New Roman" w:eastAsia="宋体"/>
                <w:b/>
                <w:bCs/>
              </w:rPr>
            </w:pPr>
            <w:r>
              <w:rPr>
                <w:rFonts w:hint="eastAsia" w:ascii="Times New Roman" w:hAnsi="Times New Roman" w:eastAsia="宋体"/>
                <w:b/>
                <w:bCs/>
              </w:rPr>
              <w:t>生命周期阶段</w:t>
            </w:r>
          </w:p>
        </w:tc>
        <w:tc>
          <w:tcPr>
            <w:tcW w:w="982" w:type="pct"/>
            <w:vAlign w:val="center"/>
          </w:tcPr>
          <w:p w14:paraId="2062CBC2">
            <w:pPr>
              <w:spacing w:line="276" w:lineRule="auto"/>
              <w:jc w:val="center"/>
              <w:rPr>
                <w:rFonts w:ascii="Times New Roman" w:hAnsi="Times New Roman" w:eastAsia="宋体"/>
                <w:b/>
                <w:bCs/>
              </w:rPr>
            </w:pPr>
            <w:r>
              <w:rPr>
                <w:rFonts w:hint="eastAsia" w:ascii="Times New Roman" w:hAnsi="Times New Roman" w:eastAsia="宋体"/>
                <w:b/>
                <w:bCs/>
              </w:rPr>
              <w:t>项目</w:t>
            </w:r>
          </w:p>
        </w:tc>
        <w:tc>
          <w:tcPr>
            <w:tcW w:w="782" w:type="pct"/>
            <w:vAlign w:val="center"/>
          </w:tcPr>
          <w:p w14:paraId="229A2D47">
            <w:pPr>
              <w:spacing w:line="276" w:lineRule="auto"/>
              <w:jc w:val="center"/>
              <w:rPr>
                <w:rFonts w:ascii="Times New Roman" w:hAnsi="Times New Roman" w:eastAsia="宋体"/>
                <w:b/>
                <w:bCs/>
              </w:rPr>
            </w:pPr>
            <w:r>
              <w:rPr>
                <w:rFonts w:hint="eastAsia" w:ascii="Times New Roman" w:hAnsi="Times New Roman" w:eastAsia="宋体"/>
                <w:b/>
                <w:bCs/>
              </w:rPr>
              <w:t>活动数据</w:t>
            </w:r>
          </w:p>
        </w:tc>
        <w:tc>
          <w:tcPr>
            <w:tcW w:w="782" w:type="pct"/>
            <w:vAlign w:val="center"/>
          </w:tcPr>
          <w:p w14:paraId="1002E849">
            <w:pPr>
              <w:spacing w:line="276" w:lineRule="auto"/>
              <w:jc w:val="center"/>
              <w:rPr>
                <w:rFonts w:ascii="Times New Roman" w:hAnsi="Times New Roman" w:eastAsia="宋体"/>
                <w:b/>
                <w:bCs/>
              </w:rPr>
            </w:pPr>
            <w:r>
              <w:rPr>
                <w:rFonts w:hint="eastAsia" w:ascii="Times New Roman" w:hAnsi="Times New Roman" w:eastAsia="宋体"/>
                <w:b/>
                <w:bCs/>
              </w:rPr>
              <w:t>计量单位</w:t>
            </w:r>
          </w:p>
        </w:tc>
      </w:tr>
      <w:tr w14:paraId="26E1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restart"/>
            <w:vAlign w:val="center"/>
          </w:tcPr>
          <w:p w14:paraId="0CD0B3B2">
            <w:pPr>
              <w:spacing w:line="276" w:lineRule="auto"/>
              <w:jc w:val="center"/>
              <w:rPr>
                <w:rFonts w:ascii="Times New Roman" w:hAnsi="Times New Roman" w:eastAsia="宋体"/>
              </w:rPr>
            </w:pPr>
            <w:r>
              <w:rPr>
                <w:rFonts w:hint="eastAsia" w:ascii="Times New Roman" w:hAnsi="Times New Roman" w:eastAsia="宋体"/>
              </w:rPr>
              <w:t>原材料获取</w:t>
            </w:r>
          </w:p>
        </w:tc>
        <w:tc>
          <w:tcPr>
            <w:tcW w:w="982" w:type="pct"/>
            <w:vAlign w:val="center"/>
          </w:tcPr>
          <w:p w14:paraId="566F54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树脂</w:t>
            </w:r>
          </w:p>
        </w:tc>
        <w:tc>
          <w:tcPr>
            <w:tcW w:w="782" w:type="pct"/>
            <w:vAlign w:val="center"/>
          </w:tcPr>
          <w:p w14:paraId="705C364D">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200.2</w:t>
            </w:r>
          </w:p>
        </w:tc>
        <w:tc>
          <w:tcPr>
            <w:tcW w:w="782" w:type="pct"/>
            <w:vAlign w:val="center"/>
          </w:tcPr>
          <w:p w14:paraId="456AB90C">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r>
      <w:tr w14:paraId="51DC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05FF5F22">
            <w:pPr>
              <w:spacing w:line="276" w:lineRule="auto"/>
              <w:jc w:val="center"/>
              <w:rPr>
                <w:rFonts w:ascii="Times New Roman" w:hAnsi="Times New Roman" w:eastAsia="宋体"/>
              </w:rPr>
            </w:pPr>
          </w:p>
        </w:tc>
        <w:tc>
          <w:tcPr>
            <w:tcW w:w="982" w:type="pct"/>
            <w:vAlign w:val="center"/>
          </w:tcPr>
          <w:p w14:paraId="370247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石粉</w:t>
            </w:r>
          </w:p>
        </w:tc>
        <w:tc>
          <w:tcPr>
            <w:tcW w:w="782" w:type="pct"/>
            <w:vAlign w:val="center"/>
          </w:tcPr>
          <w:p w14:paraId="1DC7CE12">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800.3</w:t>
            </w:r>
          </w:p>
        </w:tc>
        <w:tc>
          <w:tcPr>
            <w:tcW w:w="782" w:type="pct"/>
            <w:vAlign w:val="center"/>
          </w:tcPr>
          <w:p w14:paraId="1385475D">
            <w:pPr>
              <w:spacing w:line="276" w:lineRule="auto"/>
              <w:jc w:val="center"/>
              <w:rPr>
                <w:rFonts w:hint="eastAsia"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r>
      <w:tr w14:paraId="684A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60C4422E">
            <w:pPr>
              <w:spacing w:line="276" w:lineRule="auto"/>
              <w:jc w:val="center"/>
              <w:rPr>
                <w:rFonts w:ascii="Times New Roman" w:hAnsi="Times New Roman" w:eastAsia="宋体"/>
              </w:rPr>
            </w:pPr>
          </w:p>
        </w:tc>
        <w:tc>
          <w:tcPr>
            <w:tcW w:w="982" w:type="pct"/>
            <w:vAlign w:val="center"/>
          </w:tcPr>
          <w:p w14:paraId="28CD34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塑料</w:t>
            </w:r>
          </w:p>
        </w:tc>
        <w:tc>
          <w:tcPr>
            <w:tcW w:w="782" w:type="pct"/>
            <w:vAlign w:val="center"/>
          </w:tcPr>
          <w:p w14:paraId="101B2D05">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0.75</w:t>
            </w:r>
          </w:p>
        </w:tc>
        <w:tc>
          <w:tcPr>
            <w:tcW w:w="782" w:type="pct"/>
            <w:vAlign w:val="center"/>
          </w:tcPr>
          <w:p w14:paraId="671ABFCC">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r>
      <w:tr w14:paraId="12D2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0B48DEF3">
            <w:pPr>
              <w:spacing w:line="276" w:lineRule="auto"/>
              <w:jc w:val="center"/>
              <w:rPr>
                <w:rFonts w:ascii="Times New Roman" w:hAnsi="Times New Roman" w:eastAsia="宋体"/>
              </w:rPr>
            </w:pPr>
          </w:p>
        </w:tc>
        <w:tc>
          <w:tcPr>
            <w:tcW w:w="982" w:type="pct"/>
            <w:vAlign w:val="center"/>
          </w:tcPr>
          <w:p w14:paraId="14F7E221">
            <w:pPr>
              <w:keepNext w:val="0"/>
              <w:keepLines w:val="0"/>
              <w:widowControl/>
              <w:suppressLineNumbers w:val="0"/>
              <w:jc w:val="center"/>
              <w:textAlignment w:val="center"/>
              <w:rPr>
                <w:rFonts w:hint="eastAsia" w:ascii="Times New Roman" w:hAnsi="Times New Roman" w:eastAsia="宋体"/>
                <w:szCs w:val="21"/>
              </w:rPr>
            </w:pPr>
            <w:r>
              <w:rPr>
                <w:rFonts w:hint="eastAsia" w:ascii="宋体" w:hAnsi="宋体" w:eastAsia="宋体" w:cs="宋体"/>
                <w:i w:val="0"/>
                <w:iCs w:val="0"/>
                <w:color w:val="000000"/>
                <w:kern w:val="0"/>
                <w:sz w:val="22"/>
                <w:szCs w:val="22"/>
                <w:u w:val="none"/>
                <w:lang w:val="en-US" w:eastAsia="zh-CN" w:bidi="ar"/>
              </w:rPr>
              <w:t>纸箱</w:t>
            </w:r>
          </w:p>
        </w:tc>
        <w:tc>
          <w:tcPr>
            <w:tcW w:w="782" w:type="pct"/>
            <w:vAlign w:val="center"/>
          </w:tcPr>
          <w:p w14:paraId="52FEB0D4">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2</w:t>
            </w:r>
          </w:p>
        </w:tc>
        <w:tc>
          <w:tcPr>
            <w:tcW w:w="782" w:type="pct"/>
            <w:vAlign w:val="center"/>
          </w:tcPr>
          <w:p w14:paraId="4E973748">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r>
      <w:tr w14:paraId="6806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4DA55156">
            <w:pPr>
              <w:spacing w:line="276" w:lineRule="auto"/>
              <w:jc w:val="center"/>
              <w:rPr>
                <w:rFonts w:ascii="Times New Roman" w:hAnsi="Times New Roman" w:eastAsia="宋体"/>
              </w:rPr>
            </w:pPr>
          </w:p>
        </w:tc>
        <w:tc>
          <w:tcPr>
            <w:tcW w:w="982" w:type="pct"/>
            <w:vAlign w:val="center"/>
          </w:tcPr>
          <w:p w14:paraId="32EFB0DA">
            <w:pPr>
              <w:keepNext w:val="0"/>
              <w:keepLines w:val="0"/>
              <w:widowControl/>
              <w:suppressLineNumbers w:val="0"/>
              <w:jc w:val="center"/>
              <w:textAlignment w:val="center"/>
              <w:rPr>
                <w:rFonts w:hint="eastAsia" w:ascii="Times New Roman" w:hAnsi="Times New Roman" w:eastAsia="宋体"/>
                <w:i/>
                <w:iCs/>
                <w:color w:val="0000FF"/>
              </w:rPr>
            </w:pPr>
            <w:r>
              <w:rPr>
                <w:rFonts w:hint="eastAsia" w:ascii="宋体" w:hAnsi="宋体" w:eastAsia="宋体" w:cs="宋体"/>
                <w:i w:val="0"/>
                <w:iCs w:val="0"/>
                <w:color w:val="000000"/>
                <w:kern w:val="0"/>
                <w:sz w:val="21"/>
                <w:szCs w:val="21"/>
                <w:u w:val="none"/>
                <w:lang w:val="en-US" w:eastAsia="zh-CN" w:bidi="ar"/>
              </w:rPr>
              <w:t>自来水</w:t>
            </w:r>
          </w:p>
        </w:tc>
        <w:tc>
          <w:tcPr>
            <w:tcW w:w="782" w:type="pct"/>
            <w:vAlign w:val="center"/>
          </w:tcPr>
          <w:p w14:paraId="6A28B780">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2.64</w:t>
            </w:r>
          </w:p>
        </w:tc>
        <w:tc>
          <w:tcPr>
            <w:tcW w:w="782" w:type="pct"/>
            <w:vAlign w:val="center"/>
          </w:tcPr>
          <w:p w14:paraId="32635DEE">
            <w:pPr>
              <w:spacing w:line="276" w:lineRule="auto"/>
              <w:jc w:val="center"/>
              <w:rPr>
                <w:rFonts w:hint="eastAsia" w:ascii="Times New Roman" w:hAnsi="Times New Roman" w:eastAsia="宋体"/>
                <w:i w:val="0"/>
                <w:iCs w:val="0"/>
                <w:color w:val="auto"/>
                <w:lang w:val="en-US"/>
              </w:rPr>
            </w:pPr>
            <w:r>
              <w:rPr>
                <w:rFonts w:hint="eastAsia" w:ascii="Times New Roman" w:hAnsi="Times New Roman" w:eastAsia="宋体"/>
                <w:i w:val="0"/>
                <w:iCs w:val="0"/>
                <w:color w:val="auto"/>
                <w:lang w:val="en-US" w:eastAsia="zh-CN"/>
              </w:rPr>
              <w:t>m</w:t>
            </w:r>
            <w:r>
              <w:rPr>
                <w:rFonts w:hint="eastAsia" w:ascii="Times New Roman" w:hAnsi="Times New Roman" w:eastAsia="宋体"/>
                <w:i w:val="0"/>
                <w:iCs w:val="0"/>
                <w:color w:val="auto"/>
                <w:vertAlign w:val="superscript"/>
                <w:lang w:val="en-US" w:eastAsia="zh-CN"/>
              </w:rPr>
              <w:t>3</w:t>
            </w:r>
          </w:p>
        </w:tc>
      </w:tr>
      <w:tr w14:paraId="546B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33F75418">
            <w:pPr>
              <w:spacing w:line="276" w:lineRule="auto"/>
              <w:jc w:val="center"/>
              <w:rPr>
                <w:rFonts w:ascii="Times New Roman" w:hAnsi="Times New Roman" w:eastAsia="宋体"/>
              </w:rPr>
            </w:pPr>
          </w:p>
        </w:tc>
        <w:tc>
          <w:tcPr>
            <w:tcW w:w="982" w:type="pct"/>
            <w:vAlign w:val="center"/>
          </w:tcPr>
          <w:p w14:paraId="1C2168E6">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1"/>
                <w:szCs w:val="21"/>
                <w:u w:val="none"/>
                <w:lang w:val="en-US" w:eastAsia="zh-CN" w:bidi="ar"/>
              </w:rPr>
              <w:t>原材料运输</w:t>
            </w:r>
          </w:p>
        </w:tc>
        <w:tc>
          <w:tcPr>
            <w:tcW w:w="782" w:type="pct"/>
            <w:vAlign w:val="center"/>
          </w:tcPr>
          <w:p w14:paraId="52950CEC">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6.23</w:t>
            </w:r>
          </w:p>
        </w:tc>
        <w:tc>
          <w:tcPr>
            <w:tcW w:w="782" w:type="pct"/>
            <w:vAlign w:val="center"/>
          </w:tcPr>
          <w:p w14:paraId="0E8286E1">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t.km</w:t>
            </w:r>
          </w:p>
        </w:tc>
      </w:tr>
      <w:tr w14:paraId="0266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vMerge w:val="restart"/>
            <w:vAlign w:val="center"/>
          </w:tcPr>
          <w:p w14:paraId="19536F75">
            <w:pPr>
              <w:spacing w:line="276" w:lineRule="auto"/>
              <w:jc w:val="center"/>
              <w:rPr>
                <w:rFonts w:ascii="Times New Roman" w:hAnsi="Times New Roman" w:eastAsia="宋体"/>
              </w:rPr>
            </w:pPr>
            <w:r>
              <w:rPr>
                <w:rFonts w:hint="eastAsia" w:ascii="Times New Roman" w:hAnsi="Times New Roman" w:eastAsia="宋体"/>
              </w:rPr>
              <w:t>生产</w:t>
            </w:r>
          </w:p>
        </w:tc>
        <w:tc>
          <w:tcPr>
            <w:tcW w:w="982" w:type="pct"/>
            <w:vAlign w:val="center"/>
          </w:tcPr>
          <w:p w14:paraId="0F011E45">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电力</w:t>
            </w:r>
          </w:p>
        </w:tc>
        <w:tc>
          <w:tcPr>
            <w:tcW w:w="782" w:type="pct"/>
            <w:vAlign w:val="center"/>
          </w:tcPr>
          <w:p w14:paraId="41CF970C">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89.76</w:t>
            </w:r>
          </w:p>
        </w:tc>
        <w:tc>
          <w:tcPr>
            <w:tcW w:w="782" w:type="pct"/>
            <w:vAlign w:val="center"/>
          </w:tcPr>
          <w:p w14:paraId="20911EC9">
            <w:pPr>
              <w:spacing w:line="276" w:lineRule="auto"/>
              <w:jc w:val="center"/>
              <w:rPr>
                <w:rFonts w:hint="default" w:ascii="Times New Roman" w:hAnsi="Times New Roman" w:eastAsia="宋体"/>
                <w:i w:val="0"/>
                <w:iCs w:val="0"/>
                <w:color w:val="auto"/>
                <w:lang w:val="en-US"/>
              </w:rPr>
            </w:pPr>
            <w:r>
              <w:rPr>
                <w:rFonts w:hint="eastAsia" w:ascii="Times New Roman" w:hAnsi="Times New Roman" w:eastAsia="宋体"/>
                <w:i w:val="0"/>
                <w:iCs w:val="0"/>
                <w:color w:val="auto"/>
                <w:lang w:val="en-US" w:eastAsia="zh-CN"/>
              </w:rPr>
              <w:t>kwh</w:t>
            </w:r>
          </w:p>
        </w:tc>
      </w:tr>
      <w:tr w14:paraId="24C6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05E86292">
            <w:pPr>
              <w:spacing w:line="276" w:lineRule="auto"/>
              <w:jc w:val="center"/>
              <w:rPr>
                <w:rFonts w:hint="eastAsia" w:ascii="Times New Roman" w:hAnsi="Times New Roman" w:eastAsia="宋体"/>
              </w:rPr>
            </w:pPr>
          </w:p>
        </w:tc>
        <w:tc>
          <w:tcPr>
            <w:tcW w:w="982" w:type="pct"/>
            <w:vAlign w:val="center"/>
          </w:tcPr>
          <w:p w14:paraId="12A2277C">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天然气</w:t>
            </w:r>
          </w:p>
        </w:tc>
        <w:tc>
          <w:tcPr>
            <w:tcW w:w="782" w:type="pct"/>
            <w:vAlign w:val="center"/>
          </w:tcPr>
          <w:p w14:paraId="2D689DA1">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2.82</w:t>
            </w:r>
          </w:p>
        </w:tc>
        <w:tc>
          <w:tcPr>
            <w:tcW w:w="782" w:type="pct"/>
            <w:vAlign w:val="center"/>
          </w:tcPr>
          <w:p w14:paraId="684D4C84">
            <w:pPr>
              <w:spacing w:line="276" w:lineRule="auto"/>
              <w:jc w:val="center"/>
              <w:rPr>
                <w:rFonts w:hint="eastAsia" w:ascii="Times New Roman" w:hAnsi="Times New Roman" w:eastAsia="宋体"/>
                <w:i w:val="0"/>
                <w:iCs w:val="0"/>
                <w:color w:val="auto"/>
                <w:lang w:val="en-US"/>
              </w:rPr>
            </w:pPr>
            <w:r>
              <w:rPr>
                <w:rFonts w:hint="eastAsia" w:ascii="Times New Roman" w:hAnsi="Times New Roman" w:eastAsia="宋体"/>
                <w:i w:val="0"/>
                <w:iCs w:val="0"/>
                <w:color w:val="auto"/>
                <w:lang w:val="en-US" w:eastAsia="zh-CN"/>
              </w:rPr>
              <w:t>m</w:t>
            </w:r>
            <w:r>
              <w:rPr>
                <w:rFonts w:hint="eastAsia" w:ascii="Times New Roman" w:hAnsi="Times New Roman" w:eastAsia="宋体"/>
                <w:i w:val="0"/>
                <w:iCs w:val="0"/>
                <w:color w:val="auto"/>
                <w:vertAlign w:val="superscript"/>
                <w:lang w:val="en-US" w:eastAsia="zh-CN"/>
              </w:rPr>
              <w:t>3</w:t>
            </w:r>
          </w:p>
        </w:tc>
      </w:tr>
      <w:tr w14:paraId="3C91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2BC60930">
            <w:pPr>
              <w:spacing w:line="276" w:lineRule="auto"/>
              <w:jc w:val="center"/>
              <w:rPr>
                <w:rFonts w:hint="eastAsia" w:ascii="Times New Roman" w:hAnsi="Times New Roman" w:eastAsia="宋体"/>
              </w:rPr>
            </w:pPr>
          </w:p>
        </w:tc>
        <w:tc>
          <w:tcPr>
            <w:tcW w:w="982" w:type="pct"/>
            <w:vAlign w:val="center"/>
          </w:tcPr>
          <w:p w14:paraId="058BBEB4">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固废处理</w:t>
            </w:r>
          </w:p>
        </w:tc>
        <w:tc>
          <w:tcPr>
            <w:tcW w:w="782" w:type="pct"/>
            <w:vAlign w:val="center"/>
          </w:tcPr>
          <w:p w14:paraId="07E0BCD5">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0.2</w:t>
            </w:r>
          </w:p>
        </w:tc>
        <w:tc>
          <w:tcPr>
            <w:tcW w:w="782" w:type="pct"/>
            <w:vAlign w:val="center"/>
          </w:tcPr>
          <w:p w14:paraId="7EA1FF42">
            <w:pPr>
              <w:spacing w:line="276" w:lineRule="auto"/>
              <w:jc w:val="center"/>
              <w:rPr>
                <w:rFonts w:hint="eastAsia"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kg</w:t>
            </w:r>
          </w:p>
        </w:tc>
      </w:tr>
      <w:tr w14:paraId="7154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6B665748">
            <w:pPr>
              <w:spacing w:line="276" w:lineRule="auto"/>
              <w:jc w:val="center"/>
              <w:rPr>
                <w:rFonts w:hint="eastAsia" w:ascii="Times New Roman" w:hAnsi="Times New Roman" w:eastAsia="宋体"/>
              </w:rPr>
            </w:pPr>
          </w:p>
        </w:tc>
        <w:tc>
          <w:tcPr>
            <w:tcW w:w="982" w:type="pct"/>
            <w:vAlign w:val="center"/>
          </w:tcPr>
          <w:p w14:paraId="6AAAC901">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废水处理</w:t>
            </w:r>
          </w:p>
        </w:tc>
        <w:tc>
          <w:tcPr>
            <w:tcW w:w="782" w:type="pct"/>
            <w:vAlign w:val="center"/>
          </w:tcPr>
          <w:p w14:paraId="031425A7">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1.59</w:t>
            </w:r>
          </w:p>
        </w:tc>
        <w:tc>
          <w:tcPr>
            <w:tcW w:w="782" w:type="pct"/>
            <w:vAlign w:val="center"/>
          </w:tcPr>
          <w:p w14:paraId="43D75203">
            <w:pPr>
              <w:spacing w:line="276" w:lineRule="auto"/>
              <w:jc w:val="center"/>
              <w:rPr>
                <w:rFonts w:hint="eastAsia"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m</w:t>
            </w:r>
            <w:r>
              <w:rPr>
                <w:rFonts w:hint="eastAsia" w:ascii="Times New Roman" w:hAnsi="Times New Roman" w:eastAsia="宋体"/>
                <w:i w:val="0"/>
                <w:iCs w:val="0"/>
                <w:color w:val="auto"/>
                <w:vertAlign w:val="superscript"/>
                <w:lang w:val="en-US" w:eastAsia="zh-CN"/>
              </w:rPr>
              <w:t>3</w:t>
            </w:r>
          </w:p>
        </w:tc>
      </w:tr>
      <w:tr w14:paraId="4227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vMerge w:val="continue"/>
            <w:vAlign w:val="center"/>
          </w:tcPr>
          <w:p w14:paraId="1067A182">
            <w:pPr>
              <w:spacing w:line="276" w:lineRule="auto"/>
              <w:jc w:val="center"/>
              <w:rPr>
                <w:rFonts w:ascii="Times New Roman" w:hAnsi="Times New Roman" w:eastAsia="宋体"/>
              </w:rPr>
            </w:pPr>
          </w:p>
        </w:tc>
        <w:tc>
          <w:tcPr>
            <w:tcW w:w="982" w:type="pct"/>
            <w:vAlign w:val="center"/>
          </w:tcPr>
          <w:p w14:paraId="70C6DE65">
            <w:pPr>
              <w:keepNext w:val="0"/>
              <w:keepLines w:val="0"/>
              <w:widowControl/>
              <w:suppressLineNumbers w:val="0"/>
              <w:jc w:val="center"/>
              <w:textAlignment w:val="center"/>
              <w:rPr>
                <w:rFonts w:hint="default" w:ascii="Times New Roman" w:hAnsi="Times New Roman" w:eastAsia="宋体"/>
                <w:szCs w:val="21"/>
                <w:lang w:val="en-US" w:eastAsia="zh-CN"/>
              </w:rPr>
            </w:pPr>
            <w:r>
              <w:rPr>
                <w:rFonts w:hint="eastAsia" w:ascii="宋体" w:hAnsi="宋体" w:eastAsia="宋体" w:cs="宋体"/>
                <w:i w:val="0"/>
                <w:iCs w:val="0"/>
                <w:color w:val="000000"/>
                <w:kern w:val="0"/>
                <w:sz w:val="22"/>
                <w:szCs w:val="22"/>
                <w:u w:val="none"/>
                <w:lang w:val="en-US" w:eastAsia="zh-CN" w:bidi="ar"/>
              </w:rPr>
              <w:t>固废运输</w:t>
            </w:r>
          </w:p>
        </w:tc>
        <w:tc>
          <w:tcPr>
            <w:tcW w:w="782" w:type="pct"/>
            <w:vAlign w:val="center"/>
          </w:tcPr>
          <w:p w14:paraId="39B1876B">
            <w:pPr>
              <w:spacing w:line="276" w:lineRule="auto"/>
              <w:jc w:val="center"/>
              <w:rPr>
                <w:rFonts w:hint="default" w:ascii="Times New Roman" w:hAnsi="Times New Roman" w:eastAsia="宋体"/>
                <w:i w:val="0"/>
                <w:iCs w:val="0"/>
                <w:color w:val="auto"/>
                <w:lang w:val="en-US" w:eastAsia="zh-CN"/>
              </w:rPr>
            </w:pPr>
            <w:r>
              <w:rPr>
                <w:rFonts w:hint="eastAsia" w:ascii="Times New Roman" w:hAnsi="Times New Roman" w:eastAsia="宋体"/>
                <w:i w:val="0"/>
                <w:iCs w:val="0"/>
                <w:color w:val="auto"/>
                <w:lang w:val="en-US" w:eastAsia="zh-CN"/>
              </w:rPr>
              <w:t>0.01</w:t>
            </w:r>
          </w:p>
        </w:tc>
        <w:tc>
          <w:tcPr>
            <w:tcW w:w="782" w:type="pct"/>
            <w:vAlign w:val="center"/>
          </w:tcPr>
          <w:p w14:paraId="584C16BB">
            <w:pPr>
              <w:spacing w:line="276" w:lineRule="auto"/>
              <w:jc w:val="center"/>
              <w:rPr>
                <w:rFonts w:hint="default" w:ascii="Times New Roman" w:hAnsi="Times New Roman" w:eastAsia="宋体"/>
                <w:i w:val="0"/>
                <w:iCs w:val="0"/>
                <w:color w:val="auto"/>
                <w:lang w:val="en-US"/>
              </w:rPr>
            </w:pPr>
            <w:r>
              <w:rPr>
                <w:rFonts w:hint="eastAsia" w:ascii="Times New Roman" w:hAnsi="Times New Roman" w:eastAsia="宋体"/>
                <w:i w:val="0"/>
                <w:iCs w:val="0"/>
                <w:color w:val="auto"/>
                <w:lang w:val="en-US" w:eastAsia="zh-CN"/>
              </w:rPr>
              <w:t>t.km</w:t>
            </w:r>
          </w:p>
        </w:tc>
      </w:tr>
    </w:tbl>
    <w:p w14:paraId="1454FDF2">
      <w:pPr>
        <w:spacing w:line="360" w:lineRule="auto"/>
        <w:ind w:firstLine="480" w:firstLineChars="200"/>
        <w:rPr>
          <w:rFonts w:ascii="Times New Roman" w:hAnsi="Times New Roman" w:eastAsia="宋体"/>
          <w:sz w:val="24"/>
          <w:szCs w:val="28"/>
        </w:rPr>
      </w:pPr>
      <w:r>
        <w:rPr>
          <w:rFonts w:hint="eastAsia" w:ascii="Times New Roman" w:hAnsi="Times New Roman" w:eastAsia="宋体"/>
          <w:sz w:val="24"/>
          <w:szCs w:val="28"/>
        </w:rPr>
        <w:t>生命周期各阶段的温室气体排放情况如表6-</w:t>
      </w:r>
      <w:r>
        <w:rPr>
          <w:rFonts w:hint="eastAsia" w:ascii="Times New Roman" w:hAnsi="Times New Roman" w:eastAsia="宋体"/>
          <w:sz w:val="24"/>
          <w:szCs w:val="28"/>
          <w:lang w:val="en-US" w:eastAsia="zh-CN"/>
        </w:rPr>
        <w:t>2</w:t>
      </w:r>
      <w:r>
        <w:rPr>
          <w:rFonts w:hint="eastAsia" w:ascii="Times New Roman" w:hAnsi="Times New Roman" w:eastAsia="宋体"/>
          <w:sz w:val="24"/>
          <w:szCs w:val="28"/>
        </w:rPr>
        <w:t>和图6-1所示。</w:t>
      </w:r>
    </w:p>
    <w:p w14:paraId="6C27D359">
      <w:pPr>
        <w:spacing w:line="360" w:lineRule="auto"/>
        <w:jc w:val="center"/>
        <w:rPr>
          <w:rFonts w:ascii="Times New Roman" w:hAnsi="Times New Roman" w:eastAsia="宋体"/>
        </w:rPr>
      </w:pPr>
      <w:r>
        <w:rPr>
          <w:rFonts w:hint="eastAsia" w:ascii="Times New Roman" w:hAnsi="Times New Roman" w:eastAsia="宋体"/>
        </w:rPr>
        <w:t>表6-</w:t>
      </w:r>
      <w:r>
        <w:rPr>
          <w:rFonts w:hint="eastAsia" w:ascii="Times New Roman" w:hAnsi="Times New Roman" w:eastAsia="宋体"/>
          <w:lang w:val="en-US" w:eastAsia="zh-CN"/>
        </w:rPr>
        <w:t>2</w:t>
      </w:r>
      <w:r>
        <w:rPr>
          <w:rFonts w:hint="eastAsia" w:ascii="Times New Roman" w:hAnsi="Times New Roman" w:eastAsia="宋体"/>
        </w:rPr>
        <w:t xml:space="preserve"> 生命周期各阶段碳排放情况</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3827"/>
        <w:gridCol w:w="2064"/>
      </w:tblGrid>
      <w:tr w14:paraId="55D9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1A0BFCCA">
            <w:pPr>
              <w:spacing w:line="360" w:lineRule="auto"/>
              <w:jc w:val="center"/>
              <w:rPr>
                <w:rFonts w:ascii="Times New Roman" w:hAnsi="Times New Roman" w:eastAsia="宋体"/>
              </w:rPr>
            </w:pPr>
            <w:r>
              <w:rPr>
                <w:rFonts w:hint="eastAsia" w:ascii="Times New Roman" w:hAnsi="Times New Roman" w:eastAsia="宋体"/>
              </w:rPr>
              <w:t>生命周期阶段</w:t>
            </w:r>
          </w:p>
        </w:tc>
        <w:tc>
          <w:tcPr>
            <w:tcW w:w="3827" w:type="dxa"/>
            <w:vAlign w:val="center"/>
          </w:tcPr>
          <w:p w14:paraId="58ED88C1">
            <w:pPr>
              <w:spacing w:line="360" w:lineRule="auto"/>
              <w:jc w:val="center"/>
              <w:rPr>
                <w:rFonts w:ascii="Times New Roman" w:hAnsi="Times New Roman" w:eastAsia="宋体"/>
              </w:rPr>
            </w:pPr>
            <w:r>
              <w:rPr>
                <w:rFonts w:hint="eastAsia" w:ascii="Times New Roman" w:hAnsi="Times New Roman" w:eastAsia="宋体"/>
              </w:rPr>
              <w:t>碳足迹/（</w:t>
            </w:r>
            <w:r>
              <w:rPr>
                <w:rFonts w:hint="default" w:ascii="Times New Roman" w:hAnsi="Times New Roman" w:eastAsia="宋体"/>
                <w:lang w:val="en-US"/>
              </w:rPr>
              <w:t>k</w:t>
            </w:r>
            <w:r>
              <w:rPr>
                <w:rFonts w:hint="eastAsia" w:ascii="Times New Roman" w:hAnsi="Times New Roman" w:eastAsia="宋体"/>
              </w:rPr>
              <w:t>gCO</w:t>
            </w:r>
            <w:r>
              <w:rPr>
                <w:rFonts w:hint="eastAsia" w:ascii="Times New Roman" w:hAnsi="Times New Roman" w:eastAsia="宋体"/>
                <w:vertAlign w:val="subscript"/>
              </w:rPr>
              <w:t>2</w:t>
            </w:r>
            <w:r>
              <w:rPr>
                <w:rFonts w:hint="eastAsia" w:ascii="Times New Roman" w:hAnsi="Times New Roman" w:eastAsia="宋体"/>
              </w:rPr>
              <w:t>e/声明单位）</w:t>
            </w:r>
          </w:p>
        </w:tc>
        <w:tc>
          <w:tcPr>
            <w:tcW w:w="2064" w:type="dxa"/>
            <w:vAlign w:val="center"/>
          </w:tcPr>
          <w:p w14:paraId="2BA436DF">
            <w:pPr>
              <w:spacing w:line="360" w:lineRule="auto"/>
              <w:jc w:val="center"/>
              <w:rPr>
                <w:rFonts w:ascii="Times New Roman" w:hAnsi="Times New Roman" w:eastAsia="宋体"/>
              </w:rPr>
            </w:pPr>
            <w:r>
              <w:rPr>
                <w:rFonts w:hint="eastAsia" w:ascii="Times New Roman" w:hAnsi="Times New Roman" w:eastAsia="宋体"/>
              </w:rPr>
              <w:t>百分比/%</w:t>
            </w:r>
          </w:p>
        </w:tc>
      </w:tr>
      <w:tr w14:paraId="2D7A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1F70FE71">
            <w:pPr>
              <w:spacing w:line="360" w:lineRule="auto"/>
              <w:jc w:val="center"/>
              <w:rPr>
                <w:rFonts w:ascii="Times New Roman" w:hAnsi="Times New Roman" w:eastAsia="宋体"/>
              </w:rPr>
            </w:pPr>
            <w:bookmarkStart w:id="24" w:name="_Hlk190349507"/>
            <w:r>
              <w:rPr>
                <w:rFonts w:hint="eastAsia" w:ascii="Times New Roman" w:hAnsi="Times New Roman" w:eastAsia="宋体"/>
              </w:rPr>
              <w:t>原料获取阶段</w:t>
            </w:r>
            <w:bookmarkEnd w:id="24"/>
          </w:p>
        </w:tc>
        <w:tc>
          <w:tcPr>
            <w:tcW w:w="3827" w:type="dxa"/>
            <w:vAlign w:val="bottom"/>
          </w:tcPr>
          <w:p w14:paraId="4CDE097F">
            <w:pPr>
              <w:spacing w:line="360" w:lineRule="auto"/>
              <w:jc w:val="center"/>
              <w:rPr>
                <w:rFonts w:hint="eastAsia" w:ascii="Times New Roman" w:hAnsi="Times New Roman" w:eastAsia="宋体"/>
                <w:lang w:val="en-US" w:eastAsia="zh-CN"/>
              </w:rPr>
            </w:pPr>
            <w:r>
              <w:rPr>
                <w:rFonts w:hint="eastAsia" w:ascii="Times New Roman" w:hAnsi="Times New Roman" w:eastAsia="宋体"/>
                <w:lang w:val="en-US" w:eastAsia="zh-CN"/>
              </w:rPr>
              <w:t xml:space="preserve">961.97 </w:t>
            </w:r>
          </w:p>
        </w:tc>
        <w:tc>
          <w:tcPr>
            <w:tcW w:w="2064" w:type="dxa"/>
            <w:vAlign w:val="bottom"/>
          </w:tcPr>
          <w:p w14:paraId="7D1F1BCF">
            <w:pPr>
              <w:spacing w:line="360" w:lineRule="auto"/>
              <w:jc w:val="center"/>
              <w:rPr>
                <w:rFonts w:hint="default" w:ascii="Times New Roman" w:hAnsi="Times New Roman" w:eastAsia="宋体"/>
                <w:lang w:val="en-US" w:eastAsia="zh-CN"/>
              </w:rPr>
            </w:pPr>
            <w:r>
              <w:rPr>
                <w:rFonts w:hint="eastAsia" w:ascii="Times New Roman" w:hAnsi="Times New Roman" w:eastAsia="宋体"/>
                <w:lang w:val="en-US" w:eastAsia="zh-CN"/>
              </w:rPr>
              <w:t>91.85%</w:t>
            </w:r>
          </w:p>
        </w:tc>
      </w:tr>
      <w:tr w14:paraId="6B86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5A9B1787">
            <w:pPr>
              <w:spacing w:line="360" w:lineRule="auto"/>
              <w:jc w:val="center"/>
              <w:rPr>
                <w:rFonts w:ascii="Times New Roman" w:hAnsi="Times New Roman" w:eastAsia="宋体"/>
              </w:rPr>
            </w:pPr>
            <w:r>
              <w:rPr>
                <w:rFonts w:hint="eastAsia" w:ascii="Times New Roman" w:hAnsi="Times New Roman" w:eastAsia="宋体"/>
              </w:rPr>
              <w:t>生产阶段</w:t>
            </w:r>
          </w:p>
        </w:tc>
        <w:tc>
          <w:tcPr>
            <w:tcW w:w="3827" w:type="dxa"/>
            <w:vAlign w:val="bottom"/>
          </w:tcPr>
          <w:p w14:paraId="0AE28025">
            <w:pPr>
              <w:spacing w:line="360" w:lineRule="auto"/>
              <w:jc w:val="center"/>
              <w:rPr>
                <w:rFonts w:hint="eastAsia" w:ascii="Times New Roman" w:hAnsi="Times New Roman" w:eastAsia="宋体"/>
                <w:lang w:val="en-US" w:eastAsia="zh-CN"/>
              </w:rPr>
            </w:pPr>
            <w:r>
              <w:rPr>
                <w:rFonts w:hint="eastAsia" w:ascii="Times New Roman" w:hAnsi="Times New Roman" w:eastAsia="宋体"/>
                <w:lang w:val="en-US" w:eastAsia="zh-CN"/>
              </w:rPr>
              <w:t xml:space="preserve">85.32 </w:t>
            </w:r>
          </w:p>
        </w:tc>
        <w:tc>
          <w:tcPr>
            <w:tcW w:w="2064" w:type="dxa"/>
            <w:vAlign w:val="bottom"/>
          </w:tcPr>
          <w:p w14:paraId="2E5AC6B6">
            <w:pPr>
              <w:spacing w:line="360" w:lineRule="auto"/>
              <w:jc w:val="center"/>
              <w:rPr>
                <w:rFonts w:hint="default" w:ascii="Times New Roman" w:hAnsi="Times New Roman" w:eastAsia="宋体"/>
                <w:lang w:val="en-US" w:eastAsia="zh-CN"/>
              </w:rPr>
            </w:pPr>
            <w:r>
              <w:rPr>
                <w:rFonts w:hint="eastAsia" w:ascii="Times New Roman" w:hAnsi="Times New Roman" w:eastAsia="宋体"/>
                <w:lang w:val="en-US" w:eastAsia="zh-CN"/>
              </w:rPr>
              <w:t>8.15%</w:t>
            </w:r>
          </w:p>
        </w:tc>
      </w:tr>
      <w:tr w14:paraId="4583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00EFE505">
            <w:pPr>
              <w:spacing w:line="360" w:lineRule="auto"/>
              <w:jc w:val="center"/>
              <w:rPr>
                <w:rFonts w:ascii="Times New Roman" w:hAnsi="Times New Roman" w:eastAsia="宋体"/>
              </w:rPr>
            </w:pPr>
            <w:r>
              <w:rPr>
                <w:rFonts w:hint="eastAsia" w:ascii="Times New Roman" w:hAnsi="Times New Roman" w:eastAsia="宋体"/>
              </w:rPr>
              <w:t>总计</w:t>
            </w:r>
          </w:p>
        </w:tc>
        <w:tc>
          <w:tcPr>
            <w:tcW w:w="3827" w:type="dxa"/>
            <w:vAlign w:val="center"/>
          </w:tcPr>
          <w:p w14:paraId="0E31AA24">
            <w:pPr>
              <w:spacing w:line="360" w:lineRule="auto"/>
              <w:jc w:val="center"/>
              <w:rPr>
                <w:rFonts w:hint="default" w:ascii="Times New Roman" w:hAnsi="Times New Roman" w:eastAsia="宋体"/>
                <w:lang w:val="en-US" w:eastAsia="zh-CN"/>
              </w:rPr>
            </w:pPr>
            <w:r>
              <w:rPr>
                <w:rFonts w:hint="eastAsia" w:ascii="Times New Roman" w:hAnsi="Times New Roman" w:eastAsia="宋体"/>
                <w:lang w:val="en-US" w:eastAsia="zh-CN"/>
              </w:rPr>
              <w:t>1047.29</w:t>
            </w:r>
          </w:p>
        </w:tc>
        <w:tc>
          <w:tcPr>
            <w:tcW w:w="2064" w:type="dxa"/>
            <w:vAlign w:val="center"/>
          </w:tcPr>
          <w:p w14:paraId="2258D8D5">
            <w:pPr>
              <w:spacing w:line="360" w:lineRule="auto"/>
              <w:jc w:val="center"/>
              <w:rPr>
                <w:rFonts w:ascii="Times New Roman" w:hAnsi="Times New Roman" w:eastAsia="宋体"/>
              </w:rPr>
            </w:pPr>
            <w:r>
              <w:rPr>
                <w:rFonts w:hint="eastAsia" w:ascii="Times New Roman" w:hAnsi="Times New Roman" w:eastAsia="宋体"/>
              </w:rPr>
              <w:t>100%</w:t>
            </w:r>
          </w:p>
        </w:tc>
      </w:tr>
    </w:tbl>
    <w:p w14:paraId="19D07BA5">
      <w:pPr>
        <w:spacing w:line="360" w:lineRule="auto"/>
        <w:jc w:val="center"/>
        <w:rPr>
          <w:rFonts w:ascii="Times New Roman" w:hAnsi="Times New Roman" w:eastAsia="宋体"/>
        </w:rPr>
      </w:pPr>
      <w:r>
        <w:drawing>
          <wp:inline distT="0" distB="0" distL="114300" distR="114300">
            <wp:extent cx="4427855" cy="2491740"/>
            <wp:effectExtent l="0" t="0" r="17145" b="2286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4"/>
                    <a:stretch>
                      <a:fillRect/>
                    </a:stretch>
                  </pic:blipFill>
                  <pic:spPr>
                    <a:xfrm>
                      <a:off x="0" y="0"/>
                      <a:ext cx="4427855" cy="2491740"/>
                    </a:xfrm>
                    <a:prstGeom prst="rect">
                      <a:avLst/>
                    </a:prstGeom>
                    <a:noFill/>
                    <a:ln>
                      <a:noFill/>
                    </a:ln>
                  </pic:spPr>
                </pic:pic>
              </a:graphicData>
            </a:graphic>
          </wp:inline>
        </w:drawing>
      </w:r>
    </w:p>
    <w:p w14:paraId="6E24276E">
      <w:pPr>
        <w:spacing w:line="360" w:lineRule="auto"/>
        <w:jc w:val="center"/>
        <w:rPr>
          <w:rFonts w:hint="eastAsia" w:ascii="Times New Roman" w:hAnsi="Times New Roman" w:eastAsia="宋体"/>
        </w:rPr>
      </w:pPr>
      <w:r>
        <w:rPr>
          <w:rFonts w:hint="eastAsia" w:ascii="Times New Roman" w:hAnsi="Times New Roman" w:eastAsia="宋体"/>
        </w:rPr>
        <w:t>图6-1 生命周期各阶段碳排放分布图</w:t>
      </w:r>
    </w:p>
    <w:p w14:paraId="66FD6D12">
      <w:pPr>
        <w:spacing w:line="360" w:lineRule="auto"/>
        <w:ind w:firstLine="480" w:firstLineChars="200"/>
        <w:rPr>
          <w:rFonts w:hint="eastAsia" w:ascii="Times New Roman" w:hAnsi="Times New Roman" w:eastAsia="宋体"/>
          <w:i w:val="0"/>
          <w:iCs w:val="0"/>
          <w:color w:val="auto"/>
          <w:sz w:val="24"/>
          <w:szCs w:val="28"/>
          <w:lang w:val="en-US" w:eastAsia="zh-CN"/>
        </w:rPr>
      </w:pPr>
      <w:bookmarkStart w:id="25" w:name="_Hlk190349553"/>
      <w:r>
        <w:rPr>
          <w:rFonts w:hint="eastAsia" w:ascii="Times New Roman" w:hAnsi="Times New Roman" w:eastAsia="宋体"/>
          <w:i w:val="0"/>
          <w:iCs w:val="0"/>
          <w:color w:val="auto"/>
          <w:sz w:val="24"/>
          <w:szCs w:val="28"/>
          <w:lang w:val="en-US" w:eastAsia="zh-CN"/>
        </w:rPr>
        <w:t>原料获取和生产阶段</w:t>
      </w:r>
      <w:bookmarkEnd w:id="25"/>
      <w:r>
        <w:rPr>
          <w:rFonts w:hint="eastAsia" w:ascii="Times New Roman" w:hAnsi="Times New Roman" w:eastAsia="宋体"/>
          <w:i w:val="0"/>
          <w:iCs w:val="0"/>
          <w:color w:val="auto"/>
          <w:sz w:val="24"/>
          <w:szCs w:val="28"/>
          <w:lang w:val="en-US" w:eastAsia="zh-CN"/>
        </w:rPr>
        <w:t>碳足迹明细如表6-3和图6-2所示。</w:t>
      </w:r>
    </w:p>
    <w:p w14:paraId="5D88E6E8">
      <w:pPr>
        <w:spacing w:line="360" w:lineRule="auto"/>
        <w:jc w:val="center"/>
        <w:rPr>
          <w:rFonts w:hint="eastAsia" w:ascii="Times New Roman" w:hAnsi="Times New Roman" w:eastAsia="宋体"/>
        </w:rPr>
      </w:pPr>
      <w:r>
        <w:rPr>
          <w:rFonts w:hint="eastAsia" w:ascii="Times New Roman" w:hAnsi="Times New Roman" w:eastAsia="宋体"/>
        </w:rPr>
        <w:t>表6-</w:t>
      </w:r>
      <w:r>
        <w:rPr>
          <w:rFonts w:hint="eastAsia" w:ascii="Times New Roman" w:hAnsi="Times New Roman" w:eastAsia="宋体"/>
          <w:lang w:val="en-US" w:eastAsia="zh-CN"/>
        </w:rPr>
        <w:t>3</w:t>
      </w:r>
      <w:r>
        <w:rPr>
          <w:rFonts w:hint="eastAsia" w:ascii="Times New Roman" w:hAnsi="Times New Roman" w:eastAsia="宋体"/>
        </w:rPr>
        <w:t xml:space="preserve"> 原料获取和生产阶段碳足迹明细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178"/>
        <w:gridCol w:w="2865"/>
        <w:gridCol w:w="1686"/>
      </w:tblGrid>
      <w:tr w14:paraId="7F7A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46F5DC56">
            <w:pPr>
              <w:spacing w:line="276" w:lineRule="auto"/>
              <w:jc w:val="center"/>
              <w:rPr>
                <w:rFonts w:hint="default" w:ascii="Times New Roman Regular" w:hAnsi="Times New Roman Regular" w:eastAsia="宋体" w:cs="Times New Roman Regular"/>
                <w:b/>
                <w:bCs/>
                <w:i w:val="0"/>
                <w:iCs w:val="0"/>
                <w:color w:val="000000"/>
                <w:sz w:val="21"/>
                <w:szCs w:val="21"/>
                <w:u w:val="none"/>
              </w:rPr>
            </w:pPr>
            <w:r>
              <w:rPr>
                <w:rFonts w:hint="eastAsia" w:ascii="Times New Roman" w:hAnsi="Times New Roman" w:eastAsia="宋体"/>
                <w:b/>
                <w:bCs/>
                <w:szCs w:val="21"/>
              </w:rPr>
              <w:t>活动项</w:t>
            </w:r>
          </w:p>
        </w:tc>
        <w:tc>
          <w:tcPr>
            <w:tcW w:w="2865" w:type="dxa"/>
            <w:shd w:val="clear" w:color="auto" w:fill="auto"/>
            <w:vAlign w:val="center"/>
          </w:tcPr>
          <w:p w14:paraId="4EE8A2EF">
            <w:pPr>
              <w:spacing w:line="276" w:lineRule="auto"/>
              <w:jc w:val="center"/>
              <w:rPr>
                <w:rFonts w:hint="default" w:ascii="Times New Roman Regular" w:hAnsi="Times New Roman Regular" w:eastAsia="宋体" w:cs="Times New Roman Regular"/>
                <w:b/>
                <w:bCs/>
                <w:i w:val="0"/>
                <w:iCs w:val="0"/>
                <w:color w:val="000000"/>
                <w:kern w:val="0"/>
                <w:sz w:val="21"/>
                <w:szCs w:val="21"/>
                <w:u w:val="none"/>
                <w:lang w:val="en-US" w:eastAsia="zh-CN" w:bidi="ar"/>
              </w:rPr>
            </w:pPr>
            <w:r>
              <w:rPr>
                <w:rFonts w:hint="eastAsia" w:ascii="Times New Roman" w:hAnsi="Times New Roman" w:eastAsia="宋体"/>
                <w:b/>
                <w:bCs/>
                <w:szCs w:val="21"/>
              </w:rPr>
              <w:t>碳足迹（kgCO</w:t>
            </w:r>
            <w:r>
              <w:rPr>
                <w:rFonts w:hint="eastAsia" w:ascii="Times New Roman" w:hAnsi="Times New Roman" w:eastAsia="宋体"/>
                <w:b/>
                <w:bCs/>
                <w:szCs w:val="21"/>
                <w:vertAlign w:val="subscript"/>
              </w:rPr>
              <w:t>2</w:t>
            </w:r>
            <w:r>
              <w:rPr>
                <w:rFonts w:hint="eastAsia" w:ascii="Times New Roman" w:hAnsi="Times New Roman" w:eastAsia="宋体"/>
                <w:b/>
                <w:bCs/>
                <w:szCs w:val="21"/>
              </w:rPr>
              <w:t>e/声明单位）</w:t>
            </w:r>
          </w:p>
        </w:tc>
        <w:tc>
          <w:tcPr>
            <w:tcW w:w="1686" w:type="dxa"/>
            <w:shd w:val="clear" w:color="auto" w:fill="auto"/>
            <w:vAlign w:val="center"/>
          </w:tcPr>
          <w:p w14:paraId="03D22859">
            <w:pPr>
              <w:spacing w:line="276" w:lineRule="auto"/>
              <w:jc w:val="center"/>
              <w:rPr>
                <w:rFonts w:hint="default" w:ascii="Times New Roman Regular" w:hAnsi="Times New Roman Regular" w:eastAsia="宋体" w:cs="Times New Roman Regular"/>
                <w:b/>
                <w:bCs/>
                <w:i w:val="0"/>
                <w:iCs w:val="0"/>
                <w:color w:val="000000"/>
                <w:sz w:val="21"/>
                <w:szCs w:val="21"/>
                <w:u w:val="none"/>
              </w:rPr>
            </w:pPr>
            <w:r>
              <w:rPr>
                <w:rFonts w:hint="eastAsia" w:ascii="Times New Roman" w:hAnsi="Times New Roman" w:eastAsia="宋体"/>
                <w:b/>
                <w:bCs/>
                <w:szCs w:val="21"/>
              </w:rPr>
              <w:t>占比（%）</w:t>
            </w:r>
          </w:p>
        </w:tc>
      </w:tr>
      <w:tr w14:paraId="57B9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196F8B46">
            <w:pPr>
              <w:keepNext w:val="0"/>
              <w:keepLines w:val="0"/>
              <w:widowControl/>
              <w:suppressLineNumbers w:val="0"/>
              <w:jc w:val="center"/>
              <w:textAlignment w:val="center"/>
              <w:rPr>
                <w:rFonts w:hint="eastAsia" w:ascii="Times New Roman Regular" w:hAnsi="Times New Roman Regular" w:eastAsia="宋体" w:cs="Times New Roman Regular"/>
                <w:i w:val="0"/>
                <w:iCs w:val="0"/>
                <w:color w:val="000000"/>
                <w:sz w:val="21"/>
                <w:szCs w:val="21"/>
                <w:u w:val="none"/>
                <w:lang w:val="en-US" w:eastAsia="zh-CN"/>
              </w:rPr>
            </w:pPr>
            <w:r>
              <w:rPr>
                <w:rFonts w:hint="eastAsia" w:ascii="Times New Roman Regular" w:hAnsi="Times New Roman Regular" w:eastAsia="宋体" w:cs="Times New Roman Regular"/>
                <w:i w:val="0"/>
                <w:iCs w:val="0"/>
                <w:color w:val="000000"/>
                <w:sz w:val="21"/>
                <w:szCs w:val="21"/>
                <w:u w:val="none"/>
                <w:lang w:val="en-US" w:eastAsia="zh-CN"/>
              </w:rPr>
              <w:t>树脂</w:t>
            </w:r>
          </w:p>
        </w:tc>
        <w:tc>
          <w:tcPr>
            <w:tcW w:w="2865" w:type="dxa"/>
            <w:shd w:val="clear" w:color="auto" w:fill="auto"/>
            <w:vAlign w:val="bottom"/>
          </w:tcPr>
          <w:p w14:paraId="7171D4A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903.1222</w:t>
            </w:r>
          </w:p>
        </w:tc>
        <w:tc>
          <w:tcPr>
            <w:tcW w:w="1686" w:type="dxa"/>
            <w:shd w:val="clear" w:color="auto" w:fill="auto"/>
            <w:vAlign w:val="bottom"/>
          </w:tcPr>
          <w:p w14:paraId="10F79041">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86.23%</w:t>
            </w:r>
          </w:p>
        </w:tc>
      </w:tr>
      <w:tr w14:paraId="5C15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148CDBCF">
            <w:pPr>
              <w:keepNext w:val="0"/>
              <w:keepLines w:val="0"/>
              <w:widowControl/>
              <w:suppressLineNumbers w:val="0"/>
              <w:jc w:val="center"/>
              <w:textAlignment w:val="center"/>
              <w:rPr>
                <w:rFonts w:hint="eastAsia" w:ascii="Times New Roman Regular" w:hAnsi="Times New Roman Regular" w:eastAsia="宋体" w:cs="Times New Roman Regular"/>
                <w:i w:val="0"/>
                <w:iCs w:val="0"/>
                <w:color w:val="000000"/>
                <w:sz w:val="21"/>
                <w:szCs w:val="21"/>
                <w:u w:val="none"/>
                <w:lang w:val="en-US" w:eastAsia="zh-CN"/>
              </w:rPr>
            </w:pPr>
            <w:r>
              <w:rPr>
                <w:rFonts w:hint="eastAsia" w:ascii="Times New Roman Regular" w:hAnsi="Times New Roman Regular" w:eastAsia="宋体" w:cs="Times New Roman Regular"/>
                <w:i w:val="0"/>
                <w:iCs w:val="0"/>
                <w:color w:val="000000"/>
                <w:sz w:val="21"/>
                <w:szCs w:val="21"/>
                <w:u w:val="none"/>
                <w:lang w:val="en-US" w:eastAsia="zh-CN"/>
              </w:rPr>
              <w:t>石粉</w:t>
            </w:r>
          </w:p>
        </w:tc>
        <w:tc>
          <w:tcPr>
            <w:tcW w:w="2865" w:type="dxa"/>
            <w:shd w:val="clear" w:color="auto" w:fill="auto"/>
            <w:vAlign w:val="bottom"/>
          </w:tcPr>
          <w:p w14:paraId="49CC6B5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52.2596</w:t>
            </w:r>
          </w:p>
        </w:tc>
        <w:tc>
          <w:tcPr>
            <w:tcW w:w="1686" w:type="dxa"/>
            <w:shd w:val="clear" w:color="auto" w:fill="auto"/>
            <w:vAlign w:val="bottom"/>
          </w:tcPr>
          <w:p w14:paraId="3AA093F4">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4.99%</w:t>
            </w:r>
          </w:p>
        </w:tc>
      </w:tr>
      <w:tr w14:paraId="5C3B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7F37148D">
            <w:pPr>
              <w:keepNext w:val="0"/>
              <w:keepLines w:val="0"/>
              <w:widowControl/>
              <w:suppressLineNumbers w:val="0"/>
              <w:jc w:val="center"/>
              <w:textAlignment w:val="center"/>
              <w:rPr>
                <w:rFonts w:hint="eastAsia" w:ascii="Times New Roman Regular" w:hAnsi="Times New Roman Regular" w:eastAsia="宋体" w:cs="Times New Roman Regular"/>
                <w:i w:val="0"/>
                <w:iCs w:val="0"/>
                <w:color w:val="000000"/>
                <w:sz w:val="21"/>
                <w:szCs w:val="21"/>
                <w:u w:val="none"/>
                <w:lang w:val="en-US" w:eastAsia="zh-CN"/>
              </w:rPr>
            </w:pPr>
            <w:r>
              <w:rPr>
                <w:rFonts w:hint="eastAsia" w:ascii="Times New Roman Regular" w:hAnsi="Times New Roman Regular" w:eastAsia="宋体" w:cs="Times New Roman Regular"/>
                <w:i w:val="0"/>
                <w:iCs w:val="0"/>
                <w:color w:val="000000"/>
                <w:sz w:val="21"/>
                <w:szCs w:val="21"/>
                <w:u w:val="none"/>
                <w:lang w:val="en-US" w:eastAsia="zh-CN"/>
              </w:rPr>
              <w:t>包材</w:t>
            </w:r>
          </w:p>
        </w:tc>
        <w:tc>
          <w:tcPr>
            <w:tcW w:w="2865" w:type="dxa"/>
            <w:shd w:val="clear" w:color="auto" w:fill="auto"/>
            <w:vAlign w:val="bottom"/>
          </w:tcPr>
          <w:p w14:paraId="293A23C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2.9345</w:t>
            </w:r>
          </w:p>
        </w:tc>
        <w:tc>
          <w:tcPr>
            <w:tcW w:w="1686" w:type="dxa"/>
            <w:shd w:val="clear" w:color="auto" w:fill="auto"/>
            <w:vAlign w:val="bottom"/>
          </w:tcPr>
          <w:p w14:paraId="05F84B4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0.28%</w:t>
            </w:r>
          </w:p>
        </w:tc>
      </w:tr>
      <w:tr w14:paraId="1A9F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349B67CB">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纸箱</w:t>
            </w:r>
          </w:p>
        </w:tc>
        <w:tc>
          <w:tcPr>
            <w:tcW w:w="2865" w:type="dxa"/>
            <w:shd w:val="clear" w:color="auto" w:fill="auto"/>
            <w:vAlign w:val="bottom"/>
          </w:tcPr>
          <w:p w14:paraId="797D3FAB">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2.6882</w:t>
            </w:r>
          </w:p>
        </w:tc>
        <w:tc>
          <w:tcPr>
            <w:tcW w:w="1686" w:type="dxa"/>
            <w:shd w:val="clear" w:color="auto" w:fill="auto"/>
            <w:vAlign w:val="bottom"/>
          </w:tcPr>
          <w:p w14:paraId="0C3C22E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0.26%</w:t>
            </w:r>
          </w:p>
        </w:tc>
      </w:tr>
      <w:tr w14:paraId="665F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7895D274">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自来水</w:t>
            </w:r>
          </w:p>
        </w:tc>
        <w:tc>
          <w:tcPr>
            <w:tcW w:w="2865" w:type="dxa"/>
            <w:shd w:val="clear" w:color="auto" w:fill="auto"/>
            <w:vAlign w:val="bottom"/>
          </w:tcPr>
          <w:p w14:paraId="16403E45">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0.0034</w:t>
            </w:r>
          </w:p>
        </w:tc>
        <w:tc>
          <w:tcPr>
            <w:tcW w:w="1686" w:type="dxa"/>
            <w:shd w:val="clear" w:color="auto" w:fill="auto"/>
            <w:vAlign w:val="bottom"/>
          </w:tcPr>
          <w:p w14:paraId="0274D758">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0.00%</w:t>
            </w:r>
          </w:p>
        </w:tc>
      </w:tr>
      <w:tr w14:paraId="5547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4BC52B9B">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原材料运输</w:t>
            </w:r>
          </w:p>
        </w:tc>
        <w:tc>
          <w:tcPr>
            <w:tcW w:w="2865" w:type="dxa"/>
            <w:shd w:val="clear" w:color="auto" w:fill="auto"/>
            <w:vAlign w:val="bottom"/>
          </w:tcPr>
          <w:p w14:paraId="3BA4B8E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0.9594</w:t>
            </w:r>
          </w:p>
        </w:tc>
        <w:tc>
          <w:tcPr>
            <w:tcW w:w="1686" w:type="dxa"/>
            <w:shd w:val="clear" w:color="auto" w:fill="auto"/>
            <w:vAlign w:val="bottom"/>
          </w:tcPr>
          <w:p w14:paraId="6BD17060">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0.09%</w:t>
            </w:r>
          </w:p>
        </w:tc>
      </w:tr>
      <w:tr w14:paraId="5E50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4B36EE84">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电力</w:t>
            </w:r>
          </w:p>
        </w:tc>
        <w:tc>
          <w:tcPr>
            <w:tcW w:w="2865" w:type="dxa"/>
            <w:shd w:val="clear" w:color="auto" w:fill="auto"/>
            <w:vAlign w:val="bottom"/>
          </w:tcPr>
          <w:p w14:paraId="6FF98B8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76.9243</w:t>
            </w:r>
          </w:p>
        </w:tc>
        <w:tc>
          <w:tcPr>
            <w:tcW w:w="1686" w:type="dxa"/>
            <w:shd w:val="clear" w:color="auto" w:fill="auto"/>
            <w:vAlign w:val="bottom"/>
          </w:tcPr>
          <w:p w14:paraId="2D5F1303">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7.35%</w:t>
            </w:r>
          </w:p>
        </w:tc>
      </w:tr>
      <w:tr w14:paraId="3116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2178" w:type="dxa"/>
            <w:shd w:val="clear" w:color="auto" w:fill="auto"/>
            <w:vAlign w:val="center"/>
          </w:tcPr>
          <w:p w14:paraId="6FC15185">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天然气</w:t>
            </w:r>
          </w:p>
        </w:tc>
        <w:tc>
          <w:tcPr>
            <w:tcW w:w="2865" w:type="dxa"/>
            <w:shd w:val="clear" w:color="auto" w:fill="auto"/>
            <w:vAlign w:val="bottom"/>
          </w:tcPr>
          <w:p w14:paraId="2CDB4C0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7.8960</w:t>
            </w:r>
          </w:p>
        </w:tc>
        <w:tc>
          <w:tcPr>
            <w:tcW w:w="1686" w:type="dxa"/>
            <w:shd w:val="clear" w:color="auto" w:fill="auto"/>
            <w:vAlign w:val="bottom"/>
          </w:tcPr>
          <w:p w14:paraId="783D606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0.75%</w:t>
            </w:r>
          </w:p>
        </w:tc>
      </w:tr>
      <w:tr w14:paraId="3107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2178" w:type="dxa"/>
            <w:shd w:val="clear" w:color="auto" w:fill="auto"/>
            <w:vAlign w:val="center"/>
          </w:tcPr>
          <w:p w14:paraId="43A33197">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固废处理</w:t>
            </w:r>
          </w:p>
        </w:tc>
        <w:tc>
          <w:tcPr>
            <w:tcW w:w="2865" w:type="dxa"/>
            <w:shd w:val="clear" w:color="auto" w:fill="auto"/>
            <w:vAlign w:val="bottom"/>
          </w:tcPr>
          <w:p w14:paraId="55CB17B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0.4914</w:t>
            </w:r>
          </w:p>
        </w:tc>
        <w:tc>
          <w:tcPr>
            <w:tcW w:w="1686" w:type="dxa"/>
            <w:shd w:val="clear" w:color="auto" w:fill="auto"/>
            <w:vAlign w:val="bottom"/>
          </w:tcPr>
          <w:p w14:paraId="4C563032">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0.05%</w:t>
            </w:r>
          </w:p>
        </w:tc>
      </w:tr>
      <w:tr w14:paraId="1D93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1DACC2AA">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废水处理</w:t>
            </w:r>
          </w:p>
        </w:tc>
        <w:tc>
          <w:tcPr>
            <w:tcW w:w="2865" w:type="dxa"/>
            <w:shd w:val="clear" w:color="auto" w:fill="auto"/>
            <w:vAlign w:val="bottom"/>
          </w:tcPr>
          <w:p w14:paraId="0442C7A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0.0048</w:t>
            </w:r>
          </w:p>
        </w:tc>
        <w:tc>
          <w:tcPr>
            <w:tcW w:w="1686" w:type="dxa"/>
            <w:shd w:val="clear" w:color="auto" w:fill="auto"/>
            <w:vAlign w:val="bottom"/>
          </w:tcPr>
          <w:p w14:paraId="39A9713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0.00%</w:t>
            </w:r>
          </w:p>
        </w:tc>
      </w:tr>
      <w:tr w14:paraId="5855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59C2F730">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固废运输</w:t>
            </w:r>
          </w:p>
        </w:tc>
        <w:tc>
          <w:tcPr>
            <w:tcW w:w="2865" w:type="dxa"/>
            <w:shd w:val="clear" w:color="auto" w:fill="auto"/>
            <w:vAlign w:val="bottom"/>
          </w:tcPr>
          <w:p w14:paraId="7753DB9C">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0.0015</w:t>
            </w:r>
          </w:p>
        </w:tc>
        <w:tc>
          <w:tcPr>
            <w:tcW w:w="1686" w:type="dxa"/>
            <w:shd w:val="clear" w:color="auto" w:fill="auto"/>
            <w:vAlign w:val="bottom"/>
          </w:tcPr>
          <w:p w14:paraId="561FA35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0.00%</w:t>
            </w:r>
          </w:p>
        </w:tc>
      </w:tr>
      <w:tr w14:paraId="525B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78" w:type="dxa"/>
            <w:shd w:val="clear" w:color="auto" w:fill="auto"/>
            <w:vAlign w:val="center"/>
          </w:tcPr>
          <w:p w14:paraId="4A4D659F">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合计</w:t>
            </w:r>
          </w:p>
        </w:tc>
        <w:tc>
          <w:tcPr>
            <w:tcW w:w="2865" w:type="dxa"/>
            <w:shd w:val="clear" w:color="auto" w:fill="auto"/>
            <w:vAlign w:val="bottom"/>
          </w:tcPr>
          <w:p w14:paraId="5386C8F7">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Times New Roman Regular" w:hAnsi="Times New Roman Regular" w:eastAsia="宋体" w:cs="Times New Roman Regular"/>
                <w:i w:val="0"/>
                <w:iCs w:val="0"/>
                <w:color w:val="000000"/>
                <w:kern w:val="0"/>
                <w:sz w:val="21"/>
                <w:szCs w:val="21"/>
                <w:u w:val="none"/>
                <w:lang w:val="en-US" w:eastAsia="zh-CN" w:bidi="ar"/>
              </w:rPr>
              <w:t>1047.29</w:t>
            </w:r>
          </w:p>
        </w:tc>
        <w:tc>
          <w:tcPr>
            <w:tcW w:w="1686" w:type="dxa"/>
            <w:shd w:val="clear" w:color="auto" w:fill="auto"/>
            <w:vAlign w:val="center"/>
          </w:tcPr>
          <w:p w14:paraId="29981D89">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Regular" w:hAnsi="Times New Roman Regular" w:eastAsia="宋体" w:cs="Times New Roman Regular"/>
                <w:i w:val="0"/>
                <w:iCs w:val="0"/>
                <w:color w:val="000000"/>
                <w:sz w:val="21"/>
                <w:szCs w:val="21"/>
                <w:u w:val="none"/>
              </w:rPr>
            </w:pPr>
            <w:r>
              <w:rPr>
                <w:rFonts w:hint="default" w:ascii="Times New Roman Regular" w:hAnsi="Times New Roman Regular" w:eastAsia="宋体" w:cs="Times New Roman Regular"/>
                <w:i w:val="0"/>
                <w:iCs w:val="0"/>
                <w:color w:val="000000"/>
                <w:kern w:val="0"/>
                <w:sz w:val="21"/>
                <w:szCs w:val="21"/>
                <w:u w:val="none"/>
                <w:lang w:val="en-US" w:eastAsia="zh-CN" w:bidi="ar"/>
              </w:rPr>
              <w:t>100%</w:t>
            </w:r>
          </w:p>
        </w:tc>
      </w:tr>
    </w:tbl>
    <w:p w14:paraId="205670AD">
      <w:pPr>
        <w:spacing w:line="360" w:lineRule="auto"/>
        <w:jc w:val="center"/>
        <w:rPr>
          <w:rFonts w:ascii="Times New Roman" w:hAnsi="Times New Roman" w:eastAsia="宋体"/>
        </w:rPr>
      </w:pPr>
      <w:r>
        <w:drawing>
          <wp:inline distT="0" distB="0" distL="114300" distR="114300">
            <wp:extent cx="4831080" cy="2827655"/>
            <wp:effectExtent l="6350" t="6350" r="13970" b="1079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2A54ED">
      <w:pPr>
        <w:spacing w:line="360" w:lineRule="auto"/>
        <w:jc w:val="center"/>
        <w:rPr>
          <w:rFonts w:hint="eastAsia" w:ascii="Times New Roman" w:hAnsi="Times New Roman" w:eastAsia="宋体"/>
        </w:rPr>
      </w:pPr>
      <w:r>
        <w:rPr>
          <w:rFonts w:hint="eastAsia" w:ascii="Times New Roman" w:hAnsi="Times New Roman" w:eastAsia="宋体"/>
        </w:rPr>
        <w:t>图6-2 原料获取和生产阶段碳足迹明细</w:t>
      </w:r>
    </w:p>
    <w:p w14:paraId="7C099387">
      <w:pPr>
        <w:pStyle w:val="3"/>
        <w:keepNext w:val="0"/>
        <w:keepLines w:val="0"/>
        <w:numPr>
          <w:ilvl w:val="0"/>
          <w:numId w:val="8"/>
        </w:numPr>
        <w:spacing w:before="80" w:line="360" w:lineRule="auto"/>
        <w:rPr>
          <w:rFonts w:ascii="Times New Roman" w:hAnsi="Times New Roman" w:eastAsia="宋体"/>
          <w:b/>
          <w:bCs/>
          <w:color w:val="auto"/>
          <w:sz w:val="28"/>
          <w:szCs w:val="28"/>
        </w:rPr>
      </w:pPr>
      <w:bookmarkStart w:id="26" w:name="_Toc3222"/>
      <w:r>
        <w:rPr>
          <w:rFonts w:hint="eastAsia" w:ascii="Times New Roman" w:hAnsi="Times New Roman" w:eastAsia="宋体"/>
          <w:b/>
          <w:bCs/>
          <w:color w:val="auto"/>
          <w:sz w:val="28"/>
          <w:szCs w:val="28"/>
        </w:rPr>
        <w:t>假设和局限性说明</w:t>
      </w:r>
      <w:r>
        <w:rPr>
          <w:rFonts w:hint="eastAsia" w:ascii="Times New Roman" w:hAnsi="Times New Roman" w:eastAsia="宋体"/>
          <w:b/>
          <w:bCs/>
          <w:color w:val="auto"/>
          <w:sz w:val="28"/>
          <w:szCs w:val="28"/>
          <w:lang w:eastAsia="zh-CN"/>
        </w:rPr>
        <w:t>（</w:t>
      </w:r>
      <w:r>
        <w:rPr>
          <w:rFonts w:hint="eastAsia" w:ascii="Times New Roman" w:hAnsi="Times New Roman" w:eastAsia="宋体"/>
          <w:b/>
          <w:bCs/>
          <w:color w:val="auto"/>
          <w:sz w:val="28"/>
          <w:szCs w:val="28"/>
          <w:lang w:val="en-US" w:eastAsia="zh-CN"/>
        </w:rPr>
        <w:t>可选项</w:t>
      </w:r>
      <w:r>
        <w:rPr>
          <w:rFonts w:hint="eastAsia" w:ascii="Times New Roman" w:hAnsi="Times New Roman" w:eastAsia="宋体"/>
          <w:b/>
          <w:bCs/>
          <w:color w:val="auto"/>
          <w:sz w:val="28"/>
          <w:szCs w:val="28"/>
          <w:lang w:eastAsia="zh-CN"/>
        </w:rPr>
        <w:t>）</w:t>
      </w:r>
      <w:bookmarkEnd w:id="26"/>
    </w:p>
    <w:p w14:paraId="547B43E8">
      <w:pPr>
        <w:spacing w:line="360" w:lineRule="auto"/>
        <w:ind w:firstLine="480" w:firstLineChars="200"/>
        <w:rPr>
          <w:rFonts w:hint="default" w:ascii="Times New Roman" w:hAnsi="Times New Roman" w:eastAsia="宋体"/>
          <w:i w:val="0"/>
          <w:iCs w:val="0"/>
          <w:color w:val="auto"/>
          <w:sz w:val="24"/>
          <w:szCs w:val="28"/>
          <w:lang w:val="en-US" w:eastAsia="zh-CN"/>
        </w:rPr>
      </w:pPr>
      <w:r>
        <w:rPr>
          <w:rFonts w:hint="eastAsia" w:ascii="Times New Roman" w:hAnsi="Times New Roman" w:eastAsia="宋体"/>
          <w:i w:val="0"/>
          <w:iCs w:val="0"/>
          <w:color w:val="auto"/>
          <w:sz w:val="24"/>
          <w:szCs w:val="28"/>
          <w:lang w:val="en-US" w:eastAsia="zh-CN"/>
        </w:rPr>
        <w:t>原材料储运阶段，根据引用的原材料和包装材料数据库市场属性，避免重复计算，假设原材料和包装材料运输过程无储存过程。</w:t>
      </w:r>
    </w:p>
    <w:p w14:paraId="7B8A966E">
      <w:pPr>
        <w:pStyle w:val="3"/>
        <w:keepNext w:val="0"/>
        <w:keepLines w:val="0"/>
        <w:numPr>
          <w:ilvl w:val="0"/>
          <w:numId w:val="8"/>
        </w:numPr>
        <w:spacing w:before="80" w:line="360" w:lineRule="auto"/>
        <w:rPr>
          <w:rFonts w:ascii="Times New Roman" w:hAnsi="Times New Roman" w:eastAsia="宋体"/>
          <w:b/>
          <w:bCs/>
          <w:color w:val="auto"/>
          <w:sz w:val="28"/>
          <w:szCs w:val="28"/>
        </w:rPr>
      </w:pPr>
      <w:bookmarkStart w:id="27" w:name="_Toc17609"/>
      <w:r>
        <w:rPr>
          <w:rFonts w:hint="eastAsia" w:ascii="Times New Roman" w:hAnsi="Times New Roman" w:eastAsia="宋体"/>
          <w:b/>
          <w:bCs/>
          <w:color w:val="auto"/>
          <w:sz w:val="28"/>
          <w:szCs w:val="28"/>
        </w:rPr>
        <w:t>改进建议</w:t>
      </w:r>
      <w:bookmarkEnd w:id="27"/>
    </w:p>
    <w:p w14:paraId="17CC9CCD">
      <w:pPr>
        <w:spacing w:line="360" w:lineRule="auto"/>
        <w:ind w:firstLine="480" w:firstLineChars="200"/>
        <w:rPr>
          <w:rFonts w:hint="eastAsia" w:ascii="Times New Roman" w:hAnsi="Times New Roman" w:eastAsia="宋体"/>
          <w:i w:val="0"/>
          <w:iCs w:val="0"/>
          <w:color w:val="auto"/>
          <w:sz w:val="24"/>
          <w:szCs w:val="28"/>
          <w:lang w:val="en-US" w:eastAsia="zh-CN"/>
        </w:rPr>
      </w:pPr>
      <w:r>
        <w:rPr>
          <w:rFonts w:hint="eastAsia" w:ascii="Times New Roman" w:hAnsi="Times New Roman" w:eastAsia="宋体"/>
          <w:i w:val="0"/>
          <w:iCs w:val="0"/>
          <w:color w:val="auto"/>
          <w:sz w:val="24"/>
          <w:szCs w:val="28"/>
          <w:lang w:val="en-US" w:eastAsia="zh-CN"/>
        </w:rPr>
        <w:t>（1）提高原材料及能源使用效率，优化生产工艺，减少废弃物的产生，设计并采用环境友好及可持续的产品生产方案；</w:t>
      </w:r>
    </w:p>
    <w:p w14:paraId="1B109357">
      <w:pPr>
        <w:spacing w:line="360" w:lineRule="auto"/>
        <w:ind w:firstLine="480" w:firstLineChars="200"/>
        <w:rPr>
          <w:rFonts w:hint="eastAsia" w:ascii="Times New Roman" w:hAnsi="Times New Roman" w:eastAsia="宋体"/>
          <w:i w:val="0"/>
          <w:iCs w:val="0"/>
          <w:color w:val="auto"/>
          <w:sz w:val="24"/>
          <w:szCs w:val="28"/>
          <w:lang w:val="en-US" w:eastAsia="zh-CN"/>
        </w:rPr>
      </w:pPr>
      <w:r>
        <w:rPr>
          <w:rFonts w:hint="eastAsia" w:ascii="Times New Roman" w:hAnsi="Times New Roman" w:eastAsia="宋体"/>
          <w:i w:val="0"/>
          <w:iCs w:val="0"/>
          <w:color w:val="auto"/>
          <w:sz w:val="24"/>
          <w:szCs w:val="28"/>
          <w:lang w:val="en-US" w:eastAsia="zh-CN"/>
        </w:rPr>
        <w:t>（2）高绿色低碳发展意识，树立企业可持续发展原则，加强生命周期理念的宣传和实践。运用科学方法，加强产品碳足迹全过程中数据的积累和记录，定期对产品全生命周期的环境影响进行自查，以便企业内部开展相关对比分析，发现问题；</w:t>
      </w:r>
    </w:p>
    <w:p w14:paraId="687B458D">
      <w:pPr>
        <w:spacing w:line="360" w:lineRule="auto"/>
        <w:ind w:firstLine="480" w:firstLineChars="200"/>
        <w:rPr>
          <w:rFonts w:hint="default" w:ascii="Times New Roman" w:hAnsi="Times New Roman" w:eastAsia="宋体"/>
          <w:i w:val="0"/>
          <w:iCs w:val="0"/>
          <w:color w:val="auto"/>
          <w:sz w:val="24"/>
          <w:szCs w:val="28"/>
          <w:lang w:val="en-US" w:eastAsia="zh-CN"/>
        </w:rPr>
      </w:pPr>
      <w:r>
        <w:rPr>
          <w:rFonts w:hint="default" w:ascii="Times New Roman" w:hAnsi="Times New Roman" w:eastAsia="宋体"/>
          <w:i w:val="0"/>
          <w:iCs w:val="0"/>
          <w:color w:val="auto"/>
          <w:sz w:val="24"/>
          <w:szCs w:val="28"/>
          <w:lang w:val="en-US" w:eastAsia="zh-CN"/>
        </w:rPr>
        <w:t>（3）推进产业链绿色发展， 明确职责分工。构建支撑企业低碳发展的评价体系，建立绿色低碳供应链相</w:t>
      </w:r>
      <w:r>
        <w:rPr>
          <w:rFonts w:hint="eastAsia" w:ascii="Times New Roman" w:hAnsi="Times New Roman" w:eastAsia="宋体"/>
          <w:i w:val="0"/>
          <w:iCs w:val="0"/>
          <w:color w:val="auto"/>
          <w:sz w:val="24"/>
          <w:szCs w:val="28"/>
          <w:lang w:val="en-US" w:eastAsia="zh-CN"/>
        </w:rPr>
        <w:t>关</w:t>
      </w:r>
      <w:r>
        <w:rPr>
          <w:rFonts w:hint="default" w:ascii="Times New Roman" w:hAnsi="Times New Roman" w:eastAsia="宋体"/>
          <w:i w:val="0"/>
          <w:iCs w:val="0"/>
          <w:color w:val="auto"/>
          <w:sz w:val="24"/>
          <w:szCs w:val="28"/>
          <w:lang w:val="en-US" w:eastAsia="zh-CN"/>
        </w:rPr>
        <w:t>制度，推动供应链协同发展</w:t>
      </w:r>
      <w:r>
        <w:rPr>
          <w:rFonts w:hint="eastAsia" w:ascii="Times New Roman" w:hAnsi="Times New Roman" w:eastAsia="宋体"/>
          <w:i w:val="0"/>
          <w:iCs w:val="0"/>
          <w:color w:val="auto"/>
          <w:sz w:val="24"/>
          <w:szCs w:val="28"/>
          <w:lang w:val="en-US" w:eastAsia="zh-CN"/>
        </w:rPr>
        <w:t>。</w:t>
      </w:r>
    </w:p>
    <w:p w14:paraId="47479104">
      <w:pPr>
        <w:spacing w:line="360" w:lineRule="auto"/>
        <w:ind w:firstLine="480" w:firstLineChars="200"/>
        <w:rPr>
          <w:rFonts w:ascii="Times New Roman" w:hAnsi="Times New Roman" w:eastAsia="宋体"/>
          <w:sz w:val="24"/>
          <w:szCs w:val="28"/>
        </w:rPr>
      </w:pPr>
    </w:p>
    <w:p w14:paraId="4AE882E0">
      <w:pPr>
        <w:spacing w:line="360" w:lineRule="auto"/>
        <w:rPr>
          <w:rFonts w:ascii="Times New Roman" w:hAnsi="Times New Roman" w:eastAsia="宋体"/>
        </w:rPr>
        <w:sectPr>
          <w:pgSz w:w="11906" w:h="16838"/>
          <w:pgMar w:top="1440" w:right="1800" w:bottom="1440" w:left="1800" w:header="851" w:footer="992" w:gutter="0"/>
          <w:cols w:space="425" w:num="1"/>
          <w:docGrid w:type="lines" w:linePitch="312" w:charSpace="0"/>
        </w:sectPr>
      </w:pPr>
    </w:p>
    <w:p w14:paraId="68BE00C3">
      <w:pPr>
        <w:pStyle w:val="2"/>
        <w:keepNext w:val="0"/>
        <w:keepLines w:val="0"/>
        <w:spacing w:before="80" w:line="360" w:lineRule="auto"/>
        <w:rPr>
          <w:rFonts w:ascii="Times New Roman" w:hAnsi="Times New Roman" w:eastAsia="宋体"/>
          <w:b/>
          <w:bCs/>
          <w:color w:val="auto"/>
          <w:sz w:val="32"/>
          <w:szCs w:val="32"/>
        </w:rPr>
      </w:pPr>
      <w:bookmarkStart w:id="28" w:name="_Toc15882"/>
      <w:r>
        <w:rPr>
          <w:rFonts w:hint="eastAsia" w:ascii="Times New Roman" w:hAnsi="Times New Roman" w:eastAsia="宋体"/>
          <w:b/>
          <w:bCs/>
          <w:color w:val="auto"/>
          <w:sz w:val="32"/>
          <w:szCs w:val="32"/>
        </w:rPr>
        <w:t>附件1. 参考文献</w:t>
      </w:r>
      <w:bookmarkEnd w:id="28"/>
    </w:p>
    <w:p w14:paraId="57F62584">
      <w:pPr>
        <w:spacing w:line="360" w:lineRule="auto"/>
        <w:rPr>
          <w:rFonts w:hint="eastAsia" w:ascii="Times New Roman" w:hAnsi="Times New Roman" w:eastAsia="宋体"/>
          <w:lang w:val="en-US" w:eastAsia="zh-CN"/>
        </w:rPr>
      </w:pPr>
      <w:r>
        <w:rPr>
          <w:rFonts w:hint="eastAsia" w:ascii="Times New Roman" w:hAnsi="Times New Roman" w:eastAsia="宋体"/>
          <w:lang w:val="en-US" w:eastAsia="zh-CN"/>
        </w:rPr>
        <w:t>[1].BSI, The Guide to PAS 2050: 2011, How to carbon footprint your products,identify hotspots and reduce emissions in your supply chain.</w:t>
      </w:r>
    </w:p>
    <w:p w14:paraId="15BD3467">
      <w:pPr>
        <w:spacing w:line="360" w:lineRule="auto"/>
        <w:rPr>
          <w:rFonts w:hint="eastAsia" w:ascii="Times New Roman" w:hAnsi="Times New Roman" w:eastAsia="宋体"/>
          <w:lang w:val="en-US" w:eastAsia="zh-CN"/>
        </w:rPr>
      </w:pPr>
      <w:r>
        <w:rPr>
          <w:rFonts w:hint="eastAsia" w:ascii="Times New Roman" w:hAnsi="Times New Roman" w:eastAsia="宋体"/>
          <w:lang w:val="en-US" w:eastAsia="zh-CN"/>
        </w:rPr>
        <w:t>[2].Product Carbon Footprint Memorandum, Position statement on measurement and communication of the product carbon footprint for international standardization and harmonization purposes, Berlin, December 2009.</w:t>
      </w:r>
    </w:p>
    <w:p w14:paraId="67642455">
      <w:pPr>
        <w:spacing w:line="360" w:lineRule="auto"/>
        <w:rPr>
          <w:rFonts w:hint="eastAsia" w:ascii="Times New Roman" w:hAnsi="Times New Roman" w:eastAsia="宋体"/>
          <w:lang w:val="en-US" w:eastAsia="zh-CN"/>
        </w:rPr>
      </w:pPr>
      <w:r>
        <w:rPr>
          <w:rFonts w:hint="eastAsia" w:ascii="Times New Roman" w:hAnsi="Times New Roman" w:eastAsia="宋体"/>
          <w:lang w:val="en-US" w:eastAsia="zh-CN"/>
        </w:rPr>
        <w:t>[3].PAS 2050: 2011-Specification for the Assessment of the Life Cycle Greenhouse Gas Emissions of Goods and Services[J]. Department for Environment,Food and Rural Affairs, &amp; British Standards Institution: United Kingdom, 2011: 2-12.</w:t>
      </w:r>
    </w:p>
    <w:p w14:paraId="110CB842">
      <w:pPr>
        <w:spacing w:line="360" w:lineRule="auto"/>
        <w:rPr>
          <w:rFonts w:hint="eastAsia" w:ascii="Times New Roman" w:hAnsi="Times New Roman" w:eastAsia="宋体"/>
          <w:lang w:val="en-US" w:eastAsia="zh-CN"/>
        </w:rPr>
      </w:pPr>
      <w:r>
        <w:rPr>
          <w:rFonts w:hint="eastAsia" w:ascii="Times New Roman" w:hAnsi="Times New Roman" w:eastAsia="宋体"/>
          <w:lang w:val="en-US" w:eastAsia="zh-CN"/>
        </w:rPr>
        <w:t>[4].ISO/TS 14067: 2018, Greenhouse Gases—Carbon Footprint of Products—Reuirements and Guidelines for Quantification and Communication[J].International Organization for Standardization, Geneva, Switzerland, 2013.</w:t>
      </w:r>
    </w:p>
    <w:p w14:paraId="40D81AFC">
      <w:pPr>
        <w:spacing w:line="360" w:lineRule="auto"/>
        <w:rPr>
          <w:rFonts w:hint="eastAsia" w:ascii="Times New Roman" w:hAnsi="Times New Roman" w:eastAsia="宋体"/>
          <w:lang w:val="en-US" w:eastAsia="zh-CN"/>
        </w:rPr>
      </w:pPr>
      <w:r>
        <w:rPr>
          <w:rFonts w:hint="eastAsia" w:ascii="Times New Roman" w:hAnsi="Times New Roman" w:eastAsia="宋体"/>
          <w:lang w:val="en-US" w:eastAsia="zh-CN"/>
        </w:rPr>
        <w:t>[5].IPCC 2021: The sixth Assessment Report of the Intergovernmental Panel on Climate Change.</w:t>
      </w:r>
    </w:p>
    <w:p w14:paraId="6FE2EF16">
      <w:pPr>
        <w:spacing w:line="360" w:lineRule="auto"/>
        <w:rPr>
          <w:rFonts w:hint="eastAsia" w:ascii="Times New Roman" w:hAnsi="Times New Roman" w:eastAsia="宋体"/>
          <w:lang w:val="en-US" w:eastAsia="zh-CN"/>
        </w:rPr>
      </w:pPr>
      <w:r>
        <w:rPr>
          <w:rFonts w:hint="eastAsia" w:ascii="Times New Roman" w:hAnsi="Times New Roman" w:eastAsia="宋体"/>
          <w:lang w:val="en-US" w:eastAsia="zh-CN"/>
        </w:rPr>
        <w:t>[6].GB/T24067-2024.温室气体产品碳足迹量化要求和指南</w:t>
      </w:r>
    </w:p>
    <w:p w14:paraId="0E4AA58A">
      <w:pPr>
        <w:spacing w:line="360" w:lineRule="auto"/>
        <w:rPr>
          <w:rFonts w:ascii="Times New Roman" w:hAnsi="Times New Roman" w:eastAsia="宋体"/>
        </w:rPr>
      </w:pPr>
    </w:p>
    <w:p w14:paraId="3633332E">
      <w:pPr>
        <w:spacing w:line="360" w:lineRule="auto"/>
        <w:rPr>
          <w:rFonts w:ascii="Times New Roman" w:hAnsi="Times New Roman" w:eastAsia="宋体"/>
        </w:rPr>
        <w:sectPr>
          <w:pgSz w:w="11906" w:h="16838"/>
          <w:pgMar w:top="1440" w:right="1800" w:bottom="1440" w:left="1800" w:header="851" w:footer="992" w:gutter="0"/>
          <w:cols w:space="425" w:num="1"/>
          <w:docGrid w:type="lines" w:linePitch="312" w:charSpace="0"/>
        </w:sectPr>
      </w:pPr>
    </w:p>
    <w:p w14:paraId="197C0169">
      <w:pPr>
        <w:pStyle w:val="2"/>
        <w:keepNext w:val="0"/>
        <w:keepLines w:val="0"/>
        <w:spacing w:before="80" w:line="360" w:lineRule="auto"/>
        <w:rPr>
          <w:rFonts w:ascii="Times New Roman" w:hAnsi="Times New Roman" w:eastAsia="宋体"/>
          <w:b/>
          <w:bCs/>
          <w:color w:val="auto"/>
          <w:sz w:val="32"/>
          <w:szCs w:val="32"/>
        </w:rPr>
      </w:pPr>
      <w:bookmarkStart w:id="29" w:name="_Toc8942"/>
      <w:r>
        <w:rPr>
          <w:rFonts w:hint="eastAsia" w:ascii="Times New Roman" w:hAnsi="Times New Roman" w:eastAsia="宋体"/>
          <w:b/>
          <w:bCs/>
          <w:color w:val="auto"/>
          <w:sz w:val="32"/>
          <w:szCs w:val="32"/>
        </w:rPr>
        <w:t>附件2. 引用背景过程</w:t>
      </w:r>
      <w:bookmarkEnd w:id="29"/>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358"/>
        <w:gridCol w:w="9310"/>
        <w:gridCol w:w="1792"/>
      </w:tblGrid>
      <w:tr w14:paraId="3197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251" w:type="pct"/>
            <w:noWrap/>
            <w:vAlign w:val="center"/>
          </w:tcPr>
          <w:p w14:paraId="3278F581">
            <w:pPr>
              <w:spacing w:line="276" w:lineRule="auto"/>
              <w:jc w:val="center"/>
              <w:rPr>
                <w:rFonts w:ascii="Times New Roman" w:hAnsi="Times New Roman"/>
                <w:b/>
                <w:bCs/>
                <w:szCs w:val="21"/>
              </w:rPr>
            </w:pPr>
            <w:r>
              <w:rPr>
                <w:rFonts w:hint="eastAsia" w:ascii="Times New Roman" w:hAnsi="Times New Roman"/>
                <w:b/>
                <w:bCs/>
                <w:szCs w:val="21"/>
              </w:rPr>
              <w:t>序号</w:t>
            </w:r>
          </w:p>
        </w:tc>
        <w:tc>
          <w:tcPr>
            <w:tcW w:w="831" w:type="pct"/>
            <w:noWrap/>
            <w:vAlign w:val="center"/>
          </w:tcPr>
          <w:p w14:paraId="656F2E0D">
            <w:pPr>
              <w:spacing w:line="276" w:lineRule="auto"/>
              <w:jc w:val="center"/>
              <w:rPr>
                <w:rFonts w:ascii="Times New Roman" w:hAnsi="Times New Roman"/>
                <w:b/>
                <w:bCs/>
                <w:szCs w:val="21"/>
              </w:rPr>
            </w:pPr>
            <w:r>
              <w:rPr>
                <w:rFonts w:hint="eastAsia" w:ascii="Times New Roman" w:hAnsi="Times New Roman"/>
                <w:b/>
                <w:bCs/>
                <w:szCs w:val="21"/>
              </w:rPr>
              <w:t>活动</w:t>
            </w:r>
          </w:p>
        </w:tc>
        <w:tc>
          <w:tcPr>
            <w:tcW w:w="3284" w:type="pct"/>
            <w:noWrap/>
            <w:vAlign w:val="center"/>
          </w:tcPr>
          <w:p w14:paraId="7546A0E8">
            <w:pPr>
              <w:spacing w:line="276" w:lineRule="auto"/>
              <w:jc w:val="center"/>
              <w:rPr>
                <w:rFonts w:ascii="Times New Roman" w:hAnsi="Times New Roman"/>
                <w:b/>
                <w:bCs/>
                <w:szCs w:val="21"/>
              </w:rPr>
            </w:pPr>
            <w:r>
              <w:rPr>
                <w:rFonts w:hint="eastAsia" w:ascii="Times New Roman" w:hAnsi="Times New Roman"/>
                <w:b/>
                <w:bCs/>
                <w:szCs w:val="21"/>
              </w:rPr>
              <w:t>背景过程</w:t>
            </w:r>
          </w:p>
        </w:tc>
        <w:tc>
          <w:tcPr>
            <w:tcW w:w="632" w:type="pct"/>
            <w:vAlign w:val="center"/>
          </w:tcPr>
          <w:p w14:paraId="1756EC03">
            <w:pPr>
              <w:spacing w:line="276" w:lineRule="auto"/>
              <w:jc w:val="center"/>
              <w:rPr>
                <w:rFonts w:ascii="Times New Roman" w:hAnsi="Times New Roman"/>
                <w:b/>
                <w:bCs/>
                <w:szCs w:val="21"/>
              </w:rPr>
            </w:pPr>
            <w:r>
              <w:rPr>
                <w:rFonts w:hint="eastAsia" w:ascii="Times New Roman" w:hAnsi="Times New Roman"/>
                <w:b/>
                <w:bCs/>
                <w:szCs w:val="21"/>
              </w:rPr>
              <w:t>数据来源</w:t>
            </w:r>
          </w:p>
        </w:tc>
      </w:tr>
      <w:tr w14:paraId="1278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276AE5BB">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noWrap/>
            <w:vAlign w:val="center"/>
          </w:tcPr>
          <w:p w14:paraId="4AFC0A67">
            <w:pPr>
              <w:keepNext w:val="0"/>
              <w:keepLines w:val="0"/>
              <w:widowControl/>
              <w:suppressLineNumbers w:val="0"/>
              <w:jc w:val="center"/>
              <w:textAlignment w:val="center"/>
              <w:rPr>
                <w:rFonts w:ascii="Times New Roman" w:hAnsi="Times New Roman" w:eastAsia="宋体"/>
                <w:i/>
                <w:iCs/>
                <w:color w:val="0000FF"/>
                <w:szCs w:val="21"/>
              </w:rPr>
            </w:pPr>
            <w:r>
              <w:rPr>
                <w:rFonts w:hint="eastAsia" w:ascii="宋体" w:hAnsi="宋体" w:eastAsia="宋体" w:cs="宋体"/>
                <w:i w:val="0"/>
                <w:iCs w:val="0"/>
                <w:color w:val="000000"/>
                <w:kern w:val="0"/>
                <w:sz w:val="22"/>
                <w:szCs w:val="22"/>
                <w:u w:val="none"/>
                <w:lang w:val="en-US" w:eastAsia="zh-CN" w:bidi="ar"/>
              </w:rPr>
              <w:t>树脂</w:t>
            </w:r>
          </w:p>
        </w:tc>
        <w:tc>
          <w:tcPr>
            <w:tcW w:w="3284" w:type="pct"/>
            <w:noWrap/>
            <w:vAlign w:val="center"/>
          </w:tcPr>
          <w:p w14:paraId="4227F898">
            <w:pPr>
              <w:keepNext w:val="0"/>
              <w:keepLines w:val="0"/>
              <w:widowControl/>
              <w:suppressLineNumbers w:val="0"/>
              <w:jc w:val="left"/>
              <w:textAlignment w:val="center"/>
              <w:rPr>
                <w:rFonts w:hint="default" w:ascii="Times New Roman" w:hAnsi="Times New Roman" w:eastAsia="宋体"/>
                <w:i w:val="0"/>
                <w:iCs w:val="0"/>
                <w:color w:val="auto"/>
                <w:szCs w:val="21"/>
                <w:lang w:val="en-US" w:eastAsia="zh-CN"/>
              </w:rPr>
            </w:pPr>
            <w:r>
              <w:rPr>
                <w:rFonts w:hint="eastAsia" w:ascii="宋体" w:hAnsi="宋体" w:eastAsia="宋体" w:cs="宋体"/>
                <w:i w:val="0"/>
                <w:iCs w:val="0"/>
                <w:color w:val="000000"/>
                <w:kern w:val="0"/>
                <w:sz w:val="22"/>
                <w:szCs w:val="22"/>
                <w:u w:val="none"/>
                <w:lang w:val="en-US" w:eastAsia="zh-CN" w:bidi="ar"/>
              </w:rPr>
              <w:t>间苯二甲酸系不饱和聚酯树脂市场，全球</w:t>
            </w:r>
          </w:p>
        </w:tc>
        <w:tc>
          <w:tcPr>
            <w:tcW w:w="632" w:type="pct"/>
            <w:vAlign w:val="center"/>
          </w:tcPr>
          <w:p w14:paraId="77D491A7">
            <w:pPr>
              <w:spacing w:line="276" w:lineRule="auto"/>
              <w:jc w:val="center"/>
              <w:rPr>
                <w:rFonts w:hint="default" w:ascii="Times New Roman" w:hAnsi="Times New Roman" w:eastAsia="宋体"/>
                <w:i w:val="0"/>
                <w:iCs w:val="0"/>
                <w:color w:val="auto"/>
                <w:szCs w:val="21"/>
                <w:lang w:val="en-US" w:eastAsia="zh-CN"/>
              </w:rPr>
            </w:pPr>
            <w:r>
              <w:rPr>
                <w:rFonts w:hint="eastAsia" w:ascii="Times New Roman" w:hAnsi="Times New Roman" w:eastAsia="宋体"/>
                <w:i w:val="0"/>
                <w:iCs w:val="0"/>
                <w:color w:val="auto"/>
                <w:szCs w:val="21"/>
              </w:rPr>
              <w:t>Ecoinvent 3.</w:t>
            </w:r>
            <w:r>
              <w:rPr>
                <w:rFonts w:hint="eastAsia" w:ascii="Times New Roman" w:hAnsi="Times New Roman" w:eastAsia="宋体"/>
                <w:i w:val="0"/>
                <w:iCs w:val="0"/>
                <w:color w:val="auto"/>
                <w:szCs w:val="21"/>
                <w:lang w:val="en-US" w:eastAsia="zh-CN"/>
              </w:rPr>
              <w:t>10</w:t>
            </w:r>
          </w:p>
        </w:tc>
      </w:tr>
      <w:tr w14:paraId="6D0B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3D0F9E3C">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noWrap/>
            <w:vAlign w:val="center"/>
          </w:tcPr>
          <w:p w14:paraId="1B3627FC">
            <w:pPr>
              <w:keepNext w:val="0"/>
              <w:keepLines w:val="0"/>
              <w:widowControl/>
              <w:suppressLineNumbers w:val="0"/>
              <w:jc w:val="center"/>
              <w:textAlignment w:val="center"/>
              <w:rPr>
                <w:rFonts w:hint="eastAsia" w:ascii="Times New Roman" w:hAnsi="Times New Roman" w:eastAsia="宋体"/>
                <w:i/>
                <w:iCs/>
                <w:color w:val="0000FF"/>
                <w:szCs w:val="21"/>
                <w:lang w:val="en-US" w:eastAsia="zh-CN"/>
              </w:rPr>
            </w:pPr>
            <w:r>
              <w:rPr>
                <w:rFonts w:hint="eastAsia" w:ascii="Times New Roman" w:hAnsi="Times New Roman" w:eastAsia="宋体"/>
                <w:i w:val="0"/>
                <w:iCs w:val="0"/>
                <w:color w:val="auto"/>
                <w:szCs w:val="21"/>
                <w:lang w:val="en-US" w:eastAsia="zh-CN"/>
              </w:rPr>
              <w:t>石粉</w:t>
            </w:r>
          </w:p>
        </w:tc>
        <w:tc>
          <w:tcPr>
            <w:tcW w:w="3284" w:type="pct"/>
            <w:noWrap/>
            <w:vAlign w:val="center"/>
          </w:tcPr>
          <w:p w14:paraId="07A8AD44">
            <w:pPr>
              <w:keepNext w:val="0"/>
              <w:keepLines w:val="0"/>
              <w:widowControl/>
              <w:suppressLineNumbers w:val="0"/>
              <w:jc w:val="left"/>
              <w:textAlignment w:val="center"/>
              <w:rPr>
                <w:rFonts w:hint="default" w:ascii="Times New Roman" w:hAnsi="Times New Roman" w:eastAsia="宋体"/>
                <w:i w:val="0"/>
                <w:iCs w:val="0"/>
                <w:color w:val="auto"/>
                <w:szCs w:val="21"/>
                <w:lang w:val="en-US" w:eastAsia="zh-CN"/>
              </w:rPr>
            </w:pPr>
            <w:r>
              <w:rPr>
                <w:rFonts w:hint="eastAsia" w:ascii="宋体" w:hAnsi="宋体" w:eastAsia="宋体" w:cs="宋体"/>
                <w:i w:val="0"/>
                <w:iCs w:val="0"/>
                <w:color w:val="000000"/>
                <w:kern w:val="0"/>
                <w:sz w:val="22"/>
                <w:szCs w:val="22"/>
                <w:u w:val="none"/>
                <w:lang w:val="en-US" w:eastAsia="zh-CN" w:bidi="ar"/>
              </w:rPr>
              <w:t>石粉市场，全球</w:t>
            </w:r>
          </w:p>
        </w:tc>
        <w:tc>
          <w:tcPr>
            <w:tcW w:w="632" w:type="pct"/>
            <w:vAlign w:val="center"/>
          </w:tcPr>
          <w:p w14:paraId="4FB5D0B1">
            <w:pPr>
              <w:spacing w:line="276" w:lineRule="auto"/>
              <w:jc w:val="center"/>
              <w:rPr>
                <w:rFonts w:ascii="Times New Roman" w:hAnsi="Times New Roman" w:eastAsia="宋体"/>
                <w:i w:val="0"/>
                <w:iCs w:val="0"/>
                <w:color w:val="auto"/>
                <w:szCs w:val="21"/>
              </w:rPr>
            </w:pPr>
            <w:r>
              <w:rPr>
                <w:rFonts w:hint="eastAsia" w:ascii="Times New Roman" w:hAnsi="Times New Roman" w:eastAsia="宋体"/>
                <w:i w:val="0"/>
                <w:iCs w:val="0"/>
                <w:color w:val="auto"/>
                <w:szCs w:val="21"/>
              </w:rPr>
              <w:t>Ecoinvent 3.</w:t>
            </w:r>
            <w:r>
              <w:rPr>
                <w:rFonts w:hint="eastAsia" w:ascii="Times New Roman" w:hAnsi="Times New Roman" w:eastAsia="宋体"/>
                <w:i w:val="0"/>
                <w:iCs w:val="0"/>
                <w:color w:val="auto"/>
                <w:szCs w:val="21"/>
                <w:lang w:val="en-US" w:eastAsia="zh-CN"/>
              </w:rPr>
              <w:t>10</w:t>
            </w:r>
          </w:p>
        </w:tc>
      </w:tr>
      <w:tr w14:paraId="4BBE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76963D2E">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noWrap/>
            <w:vAlign w:val="center"/>
          </w:tcPr>
          <w:p w14:paraId="7CB61434">
            <w:pPr>
              <w:keepNext w:val="0"/>
              <w:keepLines w:val="0"/>
              <w:widowControl/>
              <w:suppressLineNumbers w:val="0"/>
              <w:jc w:val="center"/>
              <w:textAlignment w:val="center"/>
              <w:rPr>
                <w:rFonts w:ascii="Times New Roman" w:hAnsi="Times New Roman" w:eastAsia="宋体"/>
                <w:i/>
                <w:iCs/>
                <w:color w:val="0000FF"/>
                <w:szCs w:val="21"/>
              </w:rPr>
            </w:pPr>
            <w:r>
              <w:rPr>
                <w:rFonts w:hint="eastAsia" w:ascii="宋体" w:hAnsi="宋体" w:eastAsia="宋体" w:cs="宋体"/>
                <w:i w:val="0"/>
                <w:iCs w:val="0"/>
                <w:color w:val="000000"/>
                <w:kern w:val="0"/>
                <w:sz w:val="22"/>
                <w:szCs w:val="22"/>
                <w:u w:val="none"/>
                <w:lang w:val="en-US" w:eastAsia="zh-CN" w:bidi="ar"/>
              </w:rPr>
              <w:t>包材</w:t>
            </w:r>
          </w:p>
        </w:tc>
        <w:tc>
          <w:tcPr>
            <w:tcW w:w="3284" w:type="pct"/>
            <w:noWrap/>
            <w:vAlign w:val="center"/>
          </w:tcPr>
          <w:p w14:paraId="703210E3">
            <w:pPr>
              <w:keepNext w:val="0"/>
              <w:keepLines w:val="0"/>
              <w:widowControl/>
              <w:suppressLineNumbers w:val="0"/>
              <w:jc w:val="left"/>
              <w:textAlignment w:val="center"/>
              <w:rPr>
                <w:rFonts w:hint="default" w:ascii="Times New Roman" w:hAnsi="Times New Roman" w:eastAsia="宋体"/>
                <w:i w:val="0"/>
                <w:iCs w:val="0"/>
                <w:color w:val="auto"/>
                <w:szCs w:val="21"/>
                <w:lang w:val="en-US" w:eastAsia="zh-CN"/>
              </w:rPr>
            </w:pPr>
            <w:r>
              <w:rPr>
                <w:rFonts w:hint="eastAsia" w:ascii="宋体" w:hAnsi="宋体" w:eastAsia="宋体" w:cs="宋体"/>
                <w:i w:val="0"/>
                <w:iCs w:val="0"/>
                <w:color w:val="000000"/>
                <w:kern w:val="0"/>
                <w:sz w:val="22"/>
                <w:szCs w:val="22"/>
                <w:u w:val="none"/>
                <w:lang w:val="en-US" w:eastAsia="zh-CN" w:bidi="ar"/>
              </w:rPr>
              <w:t>包装薄膜市场，低密度聚乙烯，全球</w:t>
            </w:r>
          </w:p>
        </w:tc>
        <w:tc>
          <w:tcPr>
            <w:tcW w:w="632" w:type="pct"/>
            <w:vAlign w:val="center"/>
          </w:tcPr>
          <w:p w14:paraId="506F0C92">
            <w:pPr>
              <w:spacing w:line="276" w:lineRule="auto"/>
              <w:jc w:val="center"/>
              <w:rPr>
                <w:rFonts w:ascii="Times New Roman" w:hAnsi="Times New Roman" w:eastAsia="宋体"/>
                <w:i w:val="0"/>
                <w:iCs w:val="0"/>
                <w:color w:val="auto"/>
                <w:szCs w:val="21"/>
              </w:rPr>
            </w:pPr>
            <w:r>
              <w:rPr>
                <w:rFonts w:hint="eastAsia" w:ascii="Times New Roman" w:hAnsi="Times New Roman" w:eastAsia="宋体"/>
                <w:i w:val="0"/>
                <w:iCs w:val="0"/>
                <w:color w:val="auto"/>
                <w:szCs w:val="21"/>
              </w:rPr>
              <w:t>Ecoinvent 3.</w:t>
            </w:r>
            <w:r>
              <w:rPr>
                <w:rFonts w:hint="eastAsia" w:ascii="Times New Roman" w:hAnsi="Times New Roman" w:eastAsia="宋体"/>
                <w:i w:val="0"/>
                <w:iCs w:val="0"/>
                <w:color w:val="auto"/>
                <w:szCs w:val="21"/>
                <w:lang w:val="en-US" w:eastAsia="zh-CN"/>
              </w:rPr>
              <w:t>10</w:t>
            </w:r>
          </w:p>
        </w:tc>
      </w:tr>
      <w:tr w14:paraId="5705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79FAD338">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noWrap/>
            <w:vAlign w:val="center"/>
          </w:tcPr>
          <w:p w14:paraId="268615E3">
            <w:pPr>
              <w:keepNext w:val="0"/>
              <w:keepLines w:val="0"/>
              <w:widowControl/>
              <w:suppressLineNumbers w:val="0"/>
              <w:jc w:val="center"/>
              <w:textAlignment w:val="center"/>
              <w:rPr>
                <w:rFonts w:hint="default" w:ascii="Times New Roman" w:hAnsi="Times New Roman" w:eastAsia="宋体"/>
                <w:i/>
                <w:iCs/>
                <w:color w:val="0000FF"/>
                <w:szCs w:val="21"/>
                <w:lang w:val="en-US"/>
              </w:rPr>
            </w:pPr>
            <w:r>
              <w:rPr>
                <w:rFonts w:hint="eastAsia" w:ascii="宋体" w:hAnsi="宋体" w:eastAsia="宋体" w:cs="宋体"/>
                <w:i w:val="0"/>
                <w:iCs w:val="0"/>
                <w:color w:val="000000"/>
                <w:kern w:val="0"/>
                <w:sz w:val="22"/>
                <w:szCs w:val="22"/>
                <w:u w:val="none"/>
                <w:lang w:val="en-US" w:eastAsia="zh-CN" w:bidi="ar"/>
              </w:rPr>
              <w:t>包装纸箱</w:t>
            </w:r>
          </w:p>
        </w:tc>
        <w:tc>
          <w:tcPr>
            <w:tcW w:w="3284" w:type="pct"/>
            <w:noWrap/>
            <w:vAlign w:val="center"/>
          </w:tcPr>
          <w:p w14:paraId="010279C3">
            <w:pPr>
              <w:keepNext w:val="0"/>
              <w:keepLines w:val="0"/>
              <w:widowControl/>
              <w:suppressLineNumbers w:val="0"/>
              <w:jc w:val="left"/>
              <w:textAlignment w:val="center"/>
              <w:rPr>
                <w:rFonts w:hint="default" w:ascii="Times New Roman" w:hAnsi="Times New Roman" w:eastAsia="宋体"/>
                <w:i w:val="0"/>
                <w:iCs w:val="0"/>
                <w:color w:val="auto"/>
                <w:szCs w:val="21"/>
                <w:lang w:val="en-US" w:eastAsia="zh-CN"/>
              </w:rPr>
            </w:pPr>
            <w:r>
              <w:rPr>
                <w:rFonts w:hint="eastAsia" w:ascii="宋体" w:hAnsi="宋体" w:eastAsia="宋体" w:cs="宋体"/>
                <w:i w:val="0"/>
                <w:iCs w:val="0"/>
                <w:color w:val="000000"/>
                <w:kern w:val="0"/>
                <w:sz w:val="22"/>
                <w:szCs w:val="22"/>
                <w:u w:val="none"/>
                <w:lang w:val="en-US" w:eastAsia="zh-CN" w:bidi="ar"/>
              </w:rPr>
              <w:t>瓦楞纸板箱市场，世界其他地区</w:t>
            </w:r>
          </w:p>
        </w:tc>
        <w:tc>
          <w:tcPr>
            <w:tcW w:w="632" w:type="pct"/>
            <w:vAlign w:val="center"/>
          </w:tcPr>
          <w:p w14:paraId="3FA9F38B">
            <w:pPr>
              <w:spacing w:line="276" w:lineRule="auto"/>
              <w:jc w:val="center"/>
              <w:rPr>
                <w:rFonts w:ascii="Times New Roman" w:hAnsi="Times New Roman" w:eastAsia="宋体"/>
                <w:i w:val="0"/>
                <w:iCs w:val="0"/>
                <w:color w:val="auto"/>
                <w:szCs w:val="21"/>
              </w:rPr>
            </w:pPr>
            <w:r>
              <w:rPr>
                <w:rFonts w:hint="eastAsia" w:ascii="Times New Roman" w:hAnsi="Times New Roman" w:eastAsia="宋体"/>
                <w:i w:val="0"/>
                <w:iCs w:val="0"/>
                <w:color w:val="auto"/>
                <w:szCs w:val="21"/>
              </w:rPr>
              <w:t>Ecoinvent 3.</w:t>
            </w:r>
            <w:r>
              <w:rPr>
                <w:rFonts w:hint="eastAsia" w:ascii="Times New Roman" w:hAnsi="Times New Roman" w:eastAsia="宋体"/>
                <w:i w:val="0"/>
                <w:iCs w:val="0"/>
                <w:color w:val="auto"/>
                <w:szCs w:val="21"/>
                <w:lang w:val="en-US" w:eastAsia="zh-CN"/>
              </w:rPr>
              <w:t>10</w:t>
            </w:r>
          </w:p>
        </w:tc>
      </w:tr>
      <w:tr w14:paraId="0BAD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5B9F37BB">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noWrap/>
            <w:vAlign w:val="center"/>
          </w:tcPr>
          <w:p w14:paraId="7F3B83C8">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自来水</w:t>
            </w:r>
          </w:p>
        </w:tc>
        <w:tc>
          <w:tcPr>
            <w:tcW w:w="3284" w:type="pct"/>
            <w:noWrap/>
            <w:vAlign w:val="center"/>
          </w:tcPr>
          <w:p w14:paraId="7585BD94">
            <w:pPr>
              <w:keepNext w:val="0"/>
              <w:keepLines w:val="0"/>
              <w:widowControl/>
              <w:suppressLineNumbers w:val="0"/>
              <w:jc w:val="left"/>
              <w:textAlignment w:val="center"/>
              <w:rPr>
                <w:rFonts w:hint="eastAsia" w:ascii="Times New Roman" w:hAnsi="Times New Roman" w:eastAsia="宋体"/>
                <w:i w:val="0"/>
                <w:iCs w:val="0"/>
                <w:color w:val="auto"/>
                <w:szCs w:val="21"/>
                <w:lang w:val="en-US" w:eastAsia="zh-CN"/>
              </w:rPr>
            </w:pPr>
            <w:r>
              <w:rPr>
                <w:rFonts w:hint="eastAsia" w:ascii="宋体" w:hAnsi="宋体" w:eastAsia="宋体" w:cs="宋体"/>
                <w:i w:val="0"/>
                <w:iCs w:val="0"/>
                <w:color w:val="000000"/>
                <w:kern w:val="0"/>
                <w:sz w:val="22"/>
                <w:szCs w:val="22"/>
                <w:u w:val="none"/>
                <w:lang w:val="en-US" w:eastAsia="zh-CN" w:bidi="ar"/>
              </w:rPr>
              <w:t>自来水市场，世界其他地区</w:t>
            </w:r>
          </w:p>
        </w:tc>
        <w:tc>
          <w:tcPr>
            <w:tcW w:w="632" w:type="pct"/>
            <w:vAlign w:val="center"/>
          </w:tcPr>
          <w:p w14:paraId="37A8534C">
            <w:pPr>
              <w:spacing w:line="276" w:lineRule="auto"/>
              <w:jc w:val="center"/>
              <w:rPr>
                <w:rFonts w:hint="eastAsia" w:ascii="Times New Roman" w:hAnsi="Times New Roman" w:eastAsia="宋体"/>
                <w:i w:val="0"/>
                <w:iCs w:val="0"/>
                <w:color w:val="auto"/>
                <w:szCs w:val="21"/>
              </w:rPr>
            </w:pPr>
            <w:r>
              <w:rPr>
                <w:rFonts w:hint="eastAsia" w:ascii="Times New Roman" w:hAnsi="Times New Roman" w:eastAsia="宋体"/>
                <w:i w:val="0"/>
                <w:iCs w:val="0"/>
                <w:color w:val="auto"/>
                <w:szCs w:val="21"/>
              </w:rPr>
              <w:t>Ecoinvent 3.</w:t>
            </w:r>
            <w:r>
              <w:rPr>
                <w:rFonts w:hint="eastAsia" w:ascii="Times New Roman" w:hAnsi="Times New Roman" w:eastAsia="宋体"/>
                <w:i w:val="0"/>
                <w:iCs w:val="0"/>
                <w:color w:val="auto"/>
                <w:szCs w:val="21"/>
                <w:lang w:val="en-US" w:eastAsia="zh-CN"/>
              </w:rPr>
              <w:t>10</w:t>
            </w:r>
          </w:p>
        </w:tc>
      </w:tr>
      <w:tr w14:paraId="0731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08FDE650">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noWrap/>
            <w:vAlign w:val="center"/>
          </w:tcPr>
          <w:p w14:paraId="12411AE3">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电力</w:t>
            </w:r>
          </w:p>
        </w:tc>
        <w:tc>
          <w:tcPr>
            <w:tcW w:w="3284" w:type="pct"/>
            <w:noWrap/>
            <w:vAlign w:val="center"/>
          </w:tcPr>
          <w:p w14:paraId="5BAA6361">
            <w:pPr>
              <w:spacing w:line="276" w:lineRule="auto"/>
              <w:jc w:val="left"/>
              <w:rPr>
                <w:rFonts w:hint="eastAsia" w:ascii="Times New Roman" w:hAnsi="Times New Roman" w:eastAsia="宋体"/>
                <w:i w:val="0"/>
                <w:iCs w:val="0"/>
                <w:color w:val="auto"/>
                <w:szCs w:val="21"/>
                <w:lang w:val="en-US" w:eastAsia="zh-CN"/>
              </w:rPr>
            </w:pPr>
            <w:r>
              <w:rPr>
                <w:rFonts w:hint="eastAsia" w:ascii="Times New Roman" w:hAnsi="Times New Roman" w:eastAsia="宋体"/>
                <w:i w:val="0"/>
                <w:iCs w:val="0"/>
                <w:color w:val="auto"/>
                <w:szCs w:val="21"/>
                <w:lang w:val="en-US" w:eastAsia="zh-CN"/>
              </w:rPr>
              <w:t>电力市场，中压，中国，国家电网公司华东分部</w:t>
            </w:r>
          </w:p>
        </w:tc>
        <w:tc>
          <w:tcPr>
            <w:tcW w:w="632" w:type="pct"/>
            <w:vAlign w:val="center"/>
          </w:tcPr>
          <w:p w14:paraId="47B5BB9E">
            <w:pPr>
              <w:spacing w:line="276" w:lineRule="auto"/>
              <w:jc w:val="center"/>
              <w:rPr>
                <w:rFonts w:hint="eastAsia" w:ascii="Times New Roman" w:hAnsi="Times New Roman" w:eastAsia="宋体"/>
                <w:i w:val="0"/>
                <w:iCs w:val="0"/>
                <w:color w:val="auto"/>
                <w:szCs w:val="21"/>
              </w:rPr>
            </w:pPr>
            <w:r>
              <w:rPr>
                <w:rFonts w:hint="eastAsia" w:ascii="Times New Roman" w:hAnsi="Times New Roman" w:eastAsia="宋体"/>
                <w:i w:val="0"/>
                <w:iCs w:val="0"/>
                <w:color w:val="auto"/>
                <w:szCs w:val="21"/>
              </w:rPr>
              <w:t>Ecoinvent 3.</w:t>
            </w:r>
            <w:r>
              <w:rPr>
                <w:rFonts w:hint="eastAsia" w:ascii="Times New Roman" w:hAnsi="Times New Roman" w:eastAsia="宋体"/>
                <w:i w:val="0"/>
                <w:iCs w:val="0"/>
                <w:color w:val="auto"/>
                <w:szCs w:val="21"/>
                <w:lang w:val="en-US" w:eastAsia="zh-CN"/>
              </w:rPr>
              <w:t>10</w:t>
            </w:r>
          </w:p>
        </w:tc>
      </w:tr>
      <w:tr w14:paraId="2D0A5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5A3AFF36">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noWrap/>
            <w:vAlign w:val="center"/>
          </w:tcPr>
          <w:p w14:paraId="71005D10">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天然气</w:t>
            </w:r>
          </w:p>
        </w:tc>
        <w:tc>
          <w:tcPr>
            <w:tcW w:w="3284" w:type="pct"/>
            <w:noWrap/>
            <w:vAlign w:val="center"/>
          </w:tcPr>
          <w:p w14:paraId="19759F26">
            <w:pPr>
              <w:spacing w:line="276" w:lineRule="auto"/>
              <w:jc w:val="left"/>
              <w:rPr>
                <w:rFonts w:hint="default" w:ascii="Times New Roman" w:hAnsi="Times New Roman" w:eastAsia="宋体"/>
                <w:i w:val="0"/>
                <w:iCs w:val="0"/>
                <w:color w:val="auto"/>
                <w:szCs w:val="21"/>
                <w:lang w:val="en-US" w:eastAsia="zh-CN"/>
              </w:rPr>
            </w:pPr>
            <w:r>
              <w:rPr>
                <w:rFonts w:hint="eastAsia" w:ascii="Times New Roman" w:hAnsi="Times New Roman" w:eastAsia="宋体"/>
                <w:i w:val="0"/>
                <w:iCs w:val="0"/>
                <w:color w:val="auto"/>
                <w:szCs w:val="21"/>
                <w:lang w:val="en-US" w:eastAsia="zh-CN"/>
              </w:rPr>
              <w:t>天然气上下游排放因子</w:t>
            </w:r>
          </w:p>
        </w:tc>
        <w:tc>
          <w:tcPr>
            <w:tcW w:w="632" w:type="pct"/>
            <w:vAlign w:val="center"/>
          </w:tcPr>
          <w:p w14:paraId="1416CD81">
            <w:pPr>
              <w:spacing w:line="276" w:lineRule="auto"/>
              <w:jc w:val="center"/>
              <w:rPr>
                <w:rFonts w:hint="default" w:ascii="Times New Roman" w:hAnsi="Times New Roman" w:eastAsia="宋体"/>
                <w:i w:val="0"/>
                <w:iCs w:val="0"/>
                <w:color w:val="auto"/>
                <w:szCs w:val="21"/>
                <w:lang w:val="en-US"/>
              </w:rPr>
            </w:pPr>
            <w:r>
              <w:rPr>
                <w:rFonts w:hint="default" w:ascii="Times New Roman" w:hAnsi="Times New Roman" w:eastAsia="宋体"/>
                <w:i w:val="0"/>
                <w:iCs w:val="0"/>
                <w:color w:val="auto"/>
                <w:szCs w:val="21"/>
                <w:lang w:val="en-US"/>
              </w:rPr>
              <w:t>CLCD</w:t>
            </w:r>
          </w:p>
        </w:tc>
      </w:tr>
      <w:tr w14:paraId="4FDA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6FB914D4">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noWrap/>
            <w:vAlign w:val="center"/>
          </w:tcPr>
          <w:p w14:paraId="71CBD214">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固废处理</w:t>
            </w:r>
          </w:p>
        </w:tc>
        <w:tc>
          <w:tcPr>
            <w:tcW w:w="3284" w:type="pct"/>
            <w:noWrap/>
            <w:vAlign w:val="center"/>
          </w:tcPr>
          <w:p w14:paraId="31B539BA">
            <w:pPr>
              <w:keepNext w:val="0"/>
              <w:keepLines w:val="0"/>
              <w:widowControl/>
              <w:suppressLineNumbers w:val="0"/>
              <w:jc w:val="left"/>
              <w:textAlignment w:val="center"/>
              <w:rPr>
                <w:rFonts w:hint="eastAsia" w:ascii="Times New Roman" w:hAnsi="Times New Roman" w:eastAsia="宋体"/>
                <w:i w:val="0"/>
                <w:iCs w:val="0"/>
                <w:color w:val="auto"/>
                <w:szCs w:val="21"/>
                <w:lang w:val="en-US" w:eastAsia="zh-CN"/>
              </w:rPr>
            </w:pPr>
            <w:r>
              <w:rPr>
                <w:rFonts w:hint="eastAsia" w:ascii="宋体" w:hAnsi="宋体" w:eastAsia="宋体" w:cs="宋体"/>
                <w:i w:val="0"/>
                <w:iCs w:val="0"/>
                <w:color w:val="000000"/>
                <w:kern w:val="0"/>
                <w:sz w:val="22"/>
                <w:szCs w:val="22"/>
                <w:u w:val="none"/>
                <w:lang w:val="en-US" w:eastAsia="zh-CN" w:bidi="ar"/>
              </w:rPr>
              <w:t>危险废物处理，危险废物焚烧，能源回收，全球</w:t>
            </w:r>
          </w:p>
        </w:tc>
        <w:tc>
          <w:tcPr>
            <w:tcW w:w="632" w:type="pct"/>
            <w:vAlign w:val="center"/>
          </w:tcPr>
          <w:p w14:paraId="6F9E2538">
            <w:pPr>
              <w:spacing w:line="276" w:lineRule="auto"/>
              <w:jc w:val="center"/>
              <w:rPr>
                <w:rFonts w:hint="eastAsia" w:ascii="Times New Roman" w:hAnsi="Times New Roman" w:eastAsia="宋体"/>
                <w:i w:val="0"/>
                <w:iCs w:val="0"/>
                <w:color w:val="auto"/>
                <w:szCs w:val="21"/>
              </w:rPr>
            </w:pPr>
            <w:r>
              <w:rPr>
                <w:rFonts w:hint="eastAsia" w:ascii="Times New Roman" w:hAnsi="Times New Roman" w:eastAsia="宋体"/>
                <w:i w:val="0"/>
                <w:iCs w:val="0"/>
                <w:color w:val="auto"/>
                <w:szCs w:val="21"/>
              </w:rPr>
              <w:t>Ecoinvent 3.</w:t>
            </w:r>
            <w:r>
              <w:rPr>
                <w:rFonts w:hint="eastAsia" w:ascii="Times New Roman" w:hAnsi="Times New Roman" w:eastAsia="宋体"/>
                <w:i w:val="0"/>
                <w:iCs w:val="0"/>
                <w:color w:val="auto"/>
                <w:szCs w:val="21"/>
                <w:lang w:val="en-US" w:eastAsia="zh-CN"/>
              </w:rPr>
              <w:t>10</w:t>
            </w:r>
          </w:p>
        </w:tc>
      </w:tr>
      <w:tr w14:paraId="438C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616D5460">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noWrap/>
            <w:vAlign w:val="center"/>
          </w:tcPr>
          <w:p w14:paraId="52D10F86">
            <w:pPr>
              <w:keepNext w:val="0"/>
              <w:keepLines w:val="0"/>
              <w:widowControl/>
              <w:suppressLineNumbers w:val="0"/>
              <w:jc w:val="center"/>
              <w:textAlignment w:val="center"/>
              <w:rPr>
                <w:rFonts w:hint="default" w:ascii="Times New Roman Regular" w:hAnsi="Times New Roman Regular" w:eastAsia="宋体" w:cs="Times New Roman Regular"/>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废水处理</w:t>
            </w:r>
          </w:p>
        </w:tc>
        <w:tc>
          <w:tcPr>
            <w:tcW w:w="3284" w:type="pct"/>
            <w:noWrap/>
            <w:vAlign w:val="center"/>
          </w:tcPr>
          <w:p w14:paraId="4BEF5238">
            <w:pPr>
              <w:keepNext w:val="0"/>
              <w:keepLines w:val="0"/>
              <w:widowControl/>
              <w:suppressLineNumbers w:val="0"/>
              <w:jc w:val="left"/>
              <w:textAlignment w:val="center"/>
              <w:rPr>
                <w:rFonts w:hint="default" w:ascii="Times New Roman" w:hAnsi="Times New Roman" w:eastAsia="宋体"/>
                <w:i w:val="0"/>
                <w:iCs w:val="0"/>
                <w:color w:val="auto"/>
                <w:szCs w:val="21"/>
                <w:lang w:val="en-US" w:eastAsia="zh-CN"/>
              </w:rPr>
            </w:pPr>
            <w:r>
              <w:rPr>
                <w:rFonts w:hint="eastAsia" w:ascii="宋体" w:hAnsi="宋体" w:eastAsia="宋体" w:cs="宋体"/>
                <w:i w:val="0"/>
                <w:iCs w:val="0"/>
                <w:color w:val="000000"/>
                <w:kern w:val="0"/>
                <w:sz w:val="22"/>
                <w:szCs w:val="22"/>
                <w:u w:val="none"/>
                <w:lang w:val="en-US" w:eastAsia="zh-CN" w:bidi="ar"/>
              </w:rPr>
              <w:t>污水污泥处理，含水量70%，废水处理-卫生填埋，全球</w:t>
            </w:r>
          </w:p>
        </w:tc>
        <w:tc>
          <w:tcPr>
            <w:tcW w:w="632" w:type="pct"/>
            <w:vAlign w:val="center"/>
          </w:tcPr>
          <w:p w14:paraId="32626B9C">
            <w:pPr>
              <w:spacing w:line="276" w:lineRule="auto"/>
              <w:jc w:val="center"/>
              <w:rPr>
                <w:rFonts w:hint="eastAsia" w:ascii="Times New Roman" w:hAnsi="Times New Roman" w:eastAsia="宋体"/>
                <w:i w:val="0"/>
                <w:iCs w:val="0"/>
                <w:color w:val="auto"/>
                <w:szCs w:val="21"/>
              </w:rPr>
            </w:pPr>
            <w:r>
              <w:rPr>
                <w:rFonts w:hint="eastAsia" w:ascii="Times New Roman" w:hAnsi="Times New Roman" w:eastAsia="宋体"/>
                <w:i w:val="0"/>
                <w:iCs w:val="0"/>
                <w:color w:val="auto"/>
                <w:szCs w:val="21"/>
              </w:rPr>
              <w:t>Ecoinvent 3.</w:t>
            </w:r>
            <w:r>
              <w:rPr>
                <w:rFonts w:hint="eastAsia" w:ascii="Times New Roman" w:hAnsi="Times New Roman" w:eastAsia="宋体"/>
                <w:i w:val="0"/>
                <w:iCs w:val="0"/>
                <w:color w:val="auto"/>
                <w:szCs w:val="21"/>
                <w:lang w:val="en-US" w:eastAsia="zh-CN"/>
              </w:rPr>
              <w:t>10</w:t>
            </w:r>
          </w:p>
        </w:tc>
      </w:tr>
      <w:tr w14:paraId="6932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51" w:type="pct"/>
            <w:noWrap/>
            <w:vAlign w:val="center"/>
          </w:tcPr>
          <w:p w14:paraId="2C8C166B">
            <w:pPr>
              <w:pStyle w:val="48"/>
              <w:widowControl/>
              <w:numPr>
                <w:ilvl w:val="0"/>
                <w:numId w:val="9"/>
              </w:numPr>
              <w:spacing w:line="276" w:lineRule="auto"/>
              <w:contextualSpacing w:val="0"/>
              <w:jc w:val="center"/>
              <w:rPr>
                <w:rFonts w:ascii="Times New Roman" w:hAnsi="Times New Roman"/>
                <w:i w:val="0"/>
                <w:iCs w:val="0"/>
                <w:color w:val="auto"/>
                <w:szCs w:val="21"/>
              </w:rPr>
            </w:pPr>
          </w:p>
        </w:tc>
        <w:tc>
          <w:tcPr>
            <w:tcW w:w="831" w:type="pct"/>
            <w:shd w:val="clear" w:color="auto" w:fill="auto"/>
            <w:noWrap/>
            <w:vAlign w:val="center"/>
          </w:tcPr>
          <w:p w14:paraId="4EBF821D">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default" w:ascii="Times New Roman" w:hAnsi="Times New Roman" w:eastAsia="宋体" w:cstheme="minorBidi"/>
                <w:i/>
                <w:iCs/>
                <w:color w:val="0000FF"/>
                <w:kern w:val="2"/>
                <w:sz w:val="21"/>
                <w:szCs w:val="21"/>
                <w:lang w:val="en-US" w:eastAsia="zh-CN" w:bidi="ar-SA"/>
              </w:rPr>
            </w:pPr>
            <w:r>
              <w:rPr>
                <w:rFonts w:hint="default" w:ascii="Times New Roman Regular" w:hAnsi="Times New Roman Regular" w:eastAsia="宋体" w:cs="Times New Roman Regular"/>
                <w:i w:val="0"/>
                <w:iCs w:val="0"/>
                <w:color w:val="000000"/>
                <w:kern w:val="0"/>
                <w:sz w:val="21"/>
                <w:szCs w:val="21"/>
                <w:u w:val="none"/>
                <w:lang w:val="en-US" w:eastAsia="zh-CN" w:bidi="ar"/>
              </w:rPr>
              <w:t>运输</w:t>
            </w:r>
          </w:p>
        </w:tc>
        <w:tc>
          <w:tcPr>
            <w:tcW w:w="3284" w:type="pct"/>
            <w:shd w:val="clear" w:color="auto" w:fill="auto"/>
            <w:noWrap/>
            <w:vAlign w:val="center"/>
          </w:tcPr>
          <w:p w14:paraId="63A1900D">
            <w:pPr>
              <w:spacing w:line="276" w:lineRule="auto"/>
              <w:jc w:val="left"/>
              <w:rPr>
                <w:rFonts w:hint="eastAsia" w:ascii="Times New Roman" w:hAnsi="Times New Roman" w:eastAsia="宋体" w:cstheme="minorBidi"/>
                <w:i w:val="0"/>
                <w:iCs w:val="0"/>
                <w:color w:val="auto"/>
                <w:kern w:val="2"/>
                <w:sz w:val="21"/>
                <w:szCs w:val="21"/>
                <w:lang w:val="en-US" w:eastAsia="zh-CN" w:bidi="ar-SA"/>
              </w:rPr>
            </w:pPr>
            <w:r>
              <w:rPr>
                <w:rFonts w:hint="eastAsia" w:ascii="Times New Roman" w:hAnsi="Times New Roman" w:eastAsia="宋体"/>
                <w:i w:val="0"/>
                <w:iCs w:val="0"/>
                <w:color w:val="auto"/>
                <w:szCs w:val="21"/>
                <w:lang w:val="en-US" w:eastAsia="zh-CN"/>
              </w:rPr>
              <w:t>运输，货运，卡车，所有尺寸，</w:t>
            </w:r>
            <w:r>
              <w:rPr>
                <w:rFonts w:hint="default" w:ascii="Times New Roman" w:hAnsi="Times New Roman" w:eastAsia="宋体"/>
                <w:i w:val="0"/>
                <w:iCs w:val="0"/>
                <w:color w:val="auto"/>
                <w:szCs w:val="21"/>
                <w:lang w:val="en-US" w:eastAsia="zh-CN"/>
              </w:rPr>
              <w:t>EURO6</w:t>
            </w:r>
            <w:r>
              <w:rPr>
                <w:rFonts w:hint="eastAsia" w:ascii="Times New Roman" w:hAnsi="Times New Roman" w:eastAsia="宋体"/>
                <w:i w:val="0"/>
                <w:iCs w:val="0"/>
                <w:color w:val="auto"/>
                <w:szCs w:val="21"/>
                <w:lang w:val="en-US" w:eastAsia="zh-CN"/>
              </w:rPr>
              <w:t>用于运输的通用市场，货运，卡车，为指定，世界其他地区</w:t>
            </w:r>
          </w:p>
        </w:tc>
        <w:tc>
          <w:tcPr>
            <w:tcW w:w="632" w:type="pct"/>
            <w:shd w:val="clear" w:color="auto" w:fill="auto"/>
            <w:vAlign w:val="center"/>
          </w:tcPr>
          <w:p w14:paraId="1DB34E82">
            <w:pPr>
              <w:spacing w:line="276" w:lineRule="auto"/>
              <w:jc w:val="center"/>
              <w:rPr>
                <w:rFonts w:hint="eastAsia" w:ascii="Times New Roman" w:hAnsi="Times New Roman" w:eastAsia="宋体" w:cstheme="minorBidi"/>
                <w:i w:val="0"/>
                <w:iCs w:val="0"/>
                <w:color w:val="auto"/>
                <w:kern w:val="2"/>
                <w:sz w:val="21"/>
                <w:szCs w:val="21"/>
                <w:lang w:val="en-US" w:eastAsia="zh-CN" w:bidi="ar-SA"/>
              </w:rPr>
            </w:pPr>
            <w:r>
              <w:rPr>
                <w:rFonts w:hint="eastAsia" w:ascii="Times New Roman" w:hAnsi="Times New Roman" w:eastAsia="宋体"/>
                <w:i w:val="0"/>
                <w:iCs w:val="0"/>
                <w:color w:val="auto"/>
                <w:szCs w:val="21"/>
              </w:rPr>
              <w:t>Ecoinvent 3.</w:t>
            </w:r>
            <w:r>
              <w:rPr>
                <w:rFonts w:hint="eastAsia" w:ascii="Times New Roman" w:hAnsi="Times New Roman" w:eastAsia="宋体"/>
                <w:i w:val="0"/>
                <w:iCs w:val="0"/>
                <w:color w:val="auto"/>
                <w:szCs w:val="21"/>
                <w:lang w:val="en-US" w:eastAsia="zh-CN"/>
              </w:rPr>
              <w:t>10</w:t>
            </w:r>
          </w:p>
        </w:tc>
      </w:tr>
    </w:tbl>
    <w:p w14:paraId="49FE687C">
      <w:pPr>
        <w:spacing w:line="360" w:lineRule="auto"/>
        <w:rPr>
          <w:rFonts w:ascii="Times New Roman" w:hAnsi="Times New Roman" w:eastAsia="宋体"/>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Times New Roman Regular">
    <w:altName w:val="Times New Roman"/>
    <w:panose1 w:val="02020503050405090304"/>
    <w:charset w:val="00"/>
    <w:family w:val="auto"/>
    <w:pitch w:val="default"/>
    <w:sig w:usb0="00000000" w:usb1="00000000" w:usb2="00000001" w:usb3="00000000" w:csb0="400001BF" w:csb1="DFF7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8934268"/>
      <w:docPartObj>
        <w:docPartGallery w:val="autotext"/>
      </w:docPartObj>
    </w:sdtPr>
    <w:sdtContent>
      <w:p w14:paraId="2739A2BA">
        <w:pPr>
          <w:pStyle w:val="21"/>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69248EE9">
    <w:pPr>
      <w:pStyle w:val="21"/>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2332826"/>
      <w:docPartObj>
        <w:docPartGallery w:val="autotext"/>
      </w:docPartObj>
    </w:sdtPr>
    <w:sdtContent>
      <w:p w14:paraId="0E349271">
        <w:pPr>
          <w:pStyle w:val="21"/>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11E2C482">
    <w:pPr>
      <w:pStyle w:val="21"/>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121A0">
    <w:pPr>
      <w:pStyle w:val="22"/>
      <w:ind w:firstLine="1400" w:firstLineChars="500"/>
      <w:jc w:val="left"/>
      <w:rPr>
        <w:bCs/>
        <w:sz w:val="21"/>
        <w:u w:val="single"/>
      </w:rPr>
    </w:pPr>
    <w:r>
      <w:rPr>
        <w:rFonts w:hint="eastAsia"/>
        <w:sz w:val="28"/>
      </w:rPr>
      <w:drawing>
        <wp:anchor distT="0" distB="0" distL="114300" distR="114300" simplePos="0" relativeHeight="251660288" behindDoc="0" locked="0" layoutInCell="1" allowOverlap="1">
          <wp:simplePos x="0" y="0"/>
          <wp:positionH relativeFrom="column">
            <wp:posOffset>-110490</wp:posOffset>
          </wp:positionH>
          <wp:positionV relativeFrom="paragraph">
            <wp:posOffset>-156210</wp:posOffset>
          </wp:positionV>
          <wp:extent cx="911860" cy="531495"/>
          <wp:effectExtent l="0" t="0" r="2540" b="1905"/>
          <wp:wrapNone/>
          <wp:docPr id="11" name="Picture 2" descr="联合智业司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联合智业司标"/>
                  <pic:cNvPicPr>
                    <a:picLocks noChangeAspect="1" noChangeArrowheads="1"/>
                  </pic:cNvPicPr>
                </pic:nvPicPr>
                <pic:blipFill>
                  <a:blip r:embed="rId1"/>
                  <a:srcRect/>
                  <a:stretch>
                    <a:fillRect/>
                  </a:stretch>
                </pic:blipFill>
                <pic:spPr>
                  <a:xfrm>
                    <a:off x="0" y="0"/>
                    <a:ext cx="912170" cy="531628"/>
                  </a:xfrm>
                  <a:prstGeom prst="rect">
                    <a:avLst/>
                  </a:prstGeom>
                  <a:noFill/>
                  <a:ln w="9525">
                    <a:noFill/>
                    <a:miter lim="800000"/>
                    <a:headEnd/>
                    <a:tailEnd/>
                  </a:ln>
                </pic:spPr>
              </pic:pic>
            </a:graphicData>
          </a:graphic>
        </wp:anchor>
      </w:drawing>
    </w:r>
    <w:r>
      <w:rPr>
        <w:rFonts w:hint="eastAsia" w:eastAsia="隶书"/>
        <w:bCs/>
        <w:sz w:val="30"/>
      </w:rPr>
      <w:t xml:space="preserve">北京联合智业认证有限公司 </w:t>
    </w:r>
    <w:r>
      <w:rPr>
        <w:rFonts w:hint="eastAsia" w:eastAsia="隶书"/>
        <w:bCs/>
        <w:sz w:val="28"/>
      </w:rPr>
      <w:t xml:space="preserve">       </w:t>
    </w:r>
    <w:r>
      <w:rPr>
        <w:rFonts w:hint="eastAsia" w:eastAsia="隶书"/>
        <w:bCs/>
        <w:sz w:val="22"/>
        <w:szCs w:val="22"/>
      </w:rPr>
      <w:t xml:space="preserve"> </w:t>
    </w:r>
  </w:p>
  <w:p w14:paraId="4C115CFD">
    <w:pPr>
      <w:pStyle w:val="22"/>
      <w:jc w:val="both"/>
      <w:rPr>
        <w:rFonts w:hint="eastAsia"/>
      </w:rPr>
    </w:pPr>
    <w:r>
      <w:rPr>
        <w:rFonts w:hint="default" w:ascii="Times New Roman" w:hAnsi="Times New Roman" w:cs="Times New Roman"/>
        <w:sz w:val="22"/>
        <w:szCs w:val="22"/>
      </w:rPr>
      <w:t xml:space="preserve">   </w:t>
    </w:r>
    <w:r>
      <w:rPr>
        <w:rFonts w:hint="eastAsia" w:ascii="Times New Roman" w:hAnsi="Times New Roman" w:cs="Times New Roman"/>
        <w:sz w:val="22"/>
        <w:szCs w:val="22"/>
        <w:lang w:val="en-US" w:eastAsia="zh-CN"/>
      </w:rPr>
      <w:t xml:space="preserve">          </w:t>
    </w:r>
    <w:r>
      <w:rPr>
        <w:rFonts w:hint="default" w:ascii="Times New Roman" w:hAnsi="Times New Roman" w:cs="Times New Roman"/>
        <w:sz w:val="22"/>
        <w:szCs w:val="22"/>
      </w:rPr>
      <w:t xml:space="preserve">Beijing United Intelligence Certification Co., Ltd.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FADCDD"/>
    <w:multiLevelType w:val="singleLevel"/>
    <w:tmpl w:val="9BFADCDD"/>
    <w:lvl w:ilvl="0" w:tentative="0">
      <w:start w:val="1"/>
      <w:numFmt w:val="decimal"/>
      <w:suff w:val="nothing"/>
      <w:lvlText w:val="（%1）"/>
      <w:lvlJc w:val="left"/>
    </w:lvl>
  </w:abstractNum>
  <w:abstractNum w:abstractNumId="1">
    <w:nsid w:val="054026C7"/>
    <w:multiLevelType w:val="multilevel"/>
    <w:tmpl w:val="054026C7"/>
    <w:lvl w:ilvl="0" w:tentative="0">
      <w:start w:val="1"/>
      <w:numFmt w:val="decimal"/>
      <w:suff w:val="space"/>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02473EF"/>
    <w:multiLevelType w:val="multilevel"/>
    <w:tmpl w:val="102473EF"/>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0DD126A"/>
    <w:multiLevelType w:val="multilevel"/>
    <w:tmpl w:val="10DD126A"/>
    <w:lvl w:ilvl="0" w:tentative="0">
      <w:start w:val="1"/>
      <w:numFmt w:val="decimal"/>
      <w:suff w:val="space"/>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28B4291D"/>
    <w:multiLevelType w:val="multilevel"/>
    <w:tmpl w:val="28B4291D"/>
    <w:lvl w:ilvl="0" w:tentative="0">
      <w:start w:val="1"/>
      <w:numFmt w:val="decimal"/>
      <w:suff w:val="space"/>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3ED52D74"/>
    <w:multiLevelType w:val="multilevel"/>
    <w:tmpl w:val="3ED52D74"/>
    <w:lvl w:ilvl="0" w:tentative="0">
      <w:start w:val="1"/>
      <w:numFmt w:val="chineseCountingThousand"/>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5CF44983"/>
    <w:multiLevelType w:val="multilevel"/>
    <w:tmpl w:val="5CF44983"/>
    <w:lvl w:ilvl="0" w:tentative="0">
      <w:start w:val="1"/>
      <w:numFmt w:val="decimal"/>
      <w:suff w:val="space"/>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638F3AAB"/>
    <w:multiLevelType w:val="multilevel"/>
    <w:tmpl w:val="638F3AAB"/>
    <w:lvl w:ilvl="0" w:tentative="0">
      <w:start w:val="1"/>
      <w:numFmt w:val="decimal"/>
      <w:suff w:val="space"/>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7BFD318A"/>
    <w:multiLevelType w:val="singleLevel"/>
    <w:tmpl w:val="7BFD318A"/>
    <w:lvl w:ilvl="0" w:tentative="0">
      <w:start w:val="1"/>
      <w:numFmt w:val="decimal"/>
      <w:suff w:val="nothing"/>
      <w:lvlText w:val="（%1）"/>
      <w:lvlJc w:val="left"/>
    </w:lvl>
  </w:abstractNum>
  <w:num w:numId="1">
    <w:abstractNumId w:val="5"/>
  </w:num>
  <w:num w:numId="2">
    <w:abstractNumId w:val="1"/>
  </w:num>
  <w:num w:numId="3">
    <w:abstractNumId w:val="0"/>
  </w:num>
  <w:num w:numId="4">
    <w:abstractNumId w:val="4"/>
  </w:num>
  <w:num w:numId="5">
    <w:abstractNumId w:val="8"/>
  </w:num>
  <w:num w:numId="6">
    <w:abstractNumId w:val="3"/>
  </w:num>
  <w:num w:numId="7">
    <w:abstractNumId w:val="6"/>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80F"/>
    <w:rsid w:val="000226BB"/>
    <w:rsid w:val="00034F79"/>
    <w:rsid w:val="0004089E"/>
    <w:rsid w:val="00047BD3"/>
    <w:rsid w:val="00054B21"/>
    <w:rsid w:val="00063D15"/>
    <w:rsid w:val="000866C2"/>
    <w:rsid w:val="00094085"/>
    <w:rsid w:val="000A68DB"/>
    <w:rsid w:val="000C2C97"/>
    <w:rsid w:val="000C2EA1"/>
    <w:rsid w:val="000D0297"/>
    <w:rsid w:val="000D0D4E"/>
    <w:rsid w:val="000D62E9"/>
    <w:rsid w:val="000D6865"/>
    <w:rsid w:val="000E55D3"/>
    <w:rsid w:val="000E56D4"/>
    <w:rsid w:val="000E6904"/>
    <w:rsid w:val="00114418"/>
    <w:rsid w:val="001217A9"/>
    <w:rsid w:val="00131348"/>
    <w:rsid w:val="001313C1"/>
    <w:rsid w:val="00132E1F"/>
    <w:rsid w:val="00135828"/>
    <w:rsid w:val="00144DCE"/>
    <w:rsid w:val="00144E89"/>
    <w:rsid w:val="00170F40"/>
    <w:rsid w:val="001745FC"/>
    <w:rsid w:val="00177CF9"/>
    <w:rsid w:val="00196159"/>
    <w:rsid w:val="001D58F4"/>
    <w:rsid w:val="00233C35"/>
    <w:rsid w:val="002379A2"/>
    <w:rsid w:val="00243B71"/>
    <w:rsid w:val="00243FB4"/>
    <w:rsid w:val="0024601D"/>
    <w:rsid w:val="00256638"/>
    <w:rsid w:val="002603DF"/>
    <w:rsid w:val="002621EB"/>
    <w:rsid w:val="00265DC8"/>
    <w:rsid w:val="0027116D"/>
    <w:rsid w:val="002721D1"/>
    <w:rsid w:val="00276346"/>
    <w:rsid w:val="00291493"/>
    <w:rsid w:val="00295894"/>
    <w:rsid w:val="002C2D27"/>
    <w:rsid w:val="002D40A7"/>
    <w:rsid w:val="002E0B9D"/>
    <w:rsid w:val="002E0C32"/>
    <w:rsid w:val="002E4B6A"/>
    <w:rsid w:val="002E7CA9"/>
    <w:rsid w:val="00300F86"/>
    <w:rsid w:val="00325A05"/>
    <w:rsid w:val="0033576F"/>
    <w:rsid w:val="003454A1"/>
    <w:rsid w:val="00353E5D"/>
    <w:rsid w:val="00357D5E"/>
    <w:rsid w:val="0037233A"/>
    <w:rsid w:val="00375834"/>
    <w:rsid w:val="00386201"/>
    <w:rsid w:val="003D14DE"/>
    <w:rsid w:val="003D49B8"/>
    <w:rsid w:val="003E180F"/>
    <w:rsid w:val="003F4C61"/>
    <w:rsid w:val="00401069"/>
    <w:rsid w:val="00406CDF"/>
    <w:rsid w:val="004247D9"/>
    <w:rsid w:val="00431EBE"/>
    <w:rsid w:val="00432EAC"/>
    <w:rsid w:val="004550D5"/>
    <w:rsid w:val="0045728B"/>
    <w:rsid w:val="004602CB"/>
    <w:rsid w:val="00462A10"/>
    <w:rsid w:val="00465368"/>
    <w:rsid w:val="00470E67"/>
    <w:rsid w:val="004910E0"/>
    <w:rsid w:val="00492E08"/>
    <w:rsid w:val="00494147"/>
    <w:rsid w:val="004A0AF8"/>
    <w:rsid w:val="004C6FE5"/>
    <w:rsid w:val="004D439B"/>
    <w:rsid w:val="004E08A7"/>
    <w:rsid w:val="00517E18"/>
    <w:rsid w:val="005368FE"/>
    <w:rsid w:val="005450DB"/>
    <w:rsid w:val="00545246"/>
    <w:rsid w:val="005527AB"/>
    <w:rsid w:val="00552B15"/>
    <w:rsid w:val="005540F3"/>
    <w:rsid w:val="00560F79"/>
    <w:rsid w:val="00572FCA"/>
    <w:rsid w:val="00583232"/>
    <w:rsid w:val="00590443"/>
    <w:rsid w:val="005A0DC7"/>
    <w:rsid w:val="005C04E3"/>
    <w:rsid w:val="005C427E"/>
    <w:rsid w:val="005E10CF"/>
    <w:rsid w:val="005E350A"/>
    <w:rsid w:val="005F6A1C"/>
    <w:rsid w:val="00600934"/>
    <w:rsid w:val="00601A8F"/>
    <w:rsid w:val="006145B1"/>
    <w:rsid w:val="00616C77"/>
    <w:rsid w:val="00617F91"/>
    <w:rsid w:val="006279BB"/>
    <w:rsid w:val="0064328F"/>
    <w:rsid w:val="00646D91"/>
    <w:rsid w:val="00661A97"/>
    <w:rsid w:val="00661E11"/>
    <w:rsid w:val="00667F7B"/>
    <w:rsid w:val="00672D93"/>
    <w:rsid w:val="00684720"/>
    <w:rsid w:val="00695E1F"/>
    <w:rsid w:val="006A4887"/>
    <w:rsid w:val="006A4BE3"/>
    <w:rsid w:val="006A5903"/>
    <w:rsid w:val="006C5D95"/>
    <w:rsid w:val="006D65B1"/>
    <w:rsid w:val="006E0248"/>
    <w:rsid w:val="0071087A"/>
    <w:rsid w:val="00726060"/>
    <w:rsid w:val="00735896"/>
    <w:rsid w:val="0077399D"/>
    <w:rsid w:val="0077659D"/>
    <w:rsid w:val="0078250B"/>
    <w:rsid w:val="00794931"/>
    <w:rsid w:val="00794C47"/>
    <w:rsid w:val="00795574"/>
    <w:rsid w:val="00797A45"/>
    <w:rsid w:val="007A4862"/>
    <w:rsid w:val="007A7D41"/>
    <w:rsid w:val="007C49B2"/>
    <w:rsid w:val="007C5839"/>
    <w:rsid w:val="00811168"/>
    <w:rsid w:val="008170BE"/>
    <w:rsid w:val="008213D4"/>
    <w:rsid w:val="008216C5"/>
    <w:rsid w:val="00822F29"/>
    <w:rsid w:val="0083385F"/>
    <w:rsid w:val="00834031"/>
    <w:rsid w:val="00834450"/>
    <w:rsid w:val="0084271D"/>
    <w:rsid w:val="008575F0"/>
    <w:rsid w:val="00872E4F"/>
    <w:rsid w:val="00874A0E"/>
    <w:rsid w:val="0087585C"/>
    <w:rsid w:val="00886850"/>
    <w:rsid w:val="00890B2F"/>
    <w:rsid w:val="008A396B"/>
    <w:rsid w:val="008B3D26"/>
    <w:rsid w:val="008C4F73"/>
    <w:rsid w:val="008D3AF1"/>
    <w:rsid w:val="008E3264"/>
    <w:rsid w:val="008E47F2"/>
    <w:rsid w:val="008E4A00"/>
    <w:rsid w:val="00901715"/>
    <w:rsid w:val="00914F2A"/>
    <w:rsid w:val="009172B8"/>
    <w:rsid w:val="009205BF"/>
    <w:rsid w:val="009265C1"/>
    <w:rsid w:val="00931300"/>
    <w:rsid w:val="00933F95"/>
    <w:rsid w:val="00936C31"/>
    <w:rsid w:val="00946143"/>
    <w:rsid w:val="00952F1E"/>
    <w:rsid w:val="009722EE"/>
    <w:rsid w:val="00983F4C"/>
    <w:rsid w:val="0098739F"/>
    <w:rsid w:val="0099363A"/>
    <w:rsid w:val="009A1B24"/>
    <w:rsid w:val="009A663B"/>
    <w:rsid w:val="009C1721"/>
    <w:rsid w:val="009C28C0"/>
    <w:rsid w:val="009C7C5D"/>
    <w:rsid w:val="009F74E5"/>
    <w:rsid w:val="00A06EDE"/>
    <w:rsid w:val="00A10EC3"/>
    <w:rsid w:val="00A17352"/>
    <w:rsid w:val="00A21196"/>
    <w:rsid w:val="00A24D66"/>
    <w:rsid w:val="00A46164"/>
    <w:rsid w:val="00A4764D"/>
    <w:rsid w:val="00A477D3"/>
    <w:rsid w:val="00A5650D"/>
    <w:rsid w:val="00A57A05"/>
    <w:rsid w:val="00A705F4"/>
    <w:rsid w:val="00A835E6"/>
    <w:rsid w:val="00A837DD"/>
    <w:rsid w:val="00A83F25"/>
    <w:rsid w:val="00A85484"/>
    <w:rsid w:val="00A93548"/>
    <w:rsid w:val="00A978AF"/>
    <w:rsid w:val="00AB0641"/>
    <w:rsid w:val="00AC3B09"/>
    <w:rsid w:val="00AD57BC"/>
    <w:rsid w:val="00AE5A28"/>
    <w:rsid w:val="00B0386F"/>
    <w:rsid w:val="00B06556"/>
    <w:rsid w:val="00B148B6"/>
    <w:rsid w:val="00B22362"/>
    <w:rsid w:val="00B225AC"/>
    <w:rsid w:val="00B37B93"/>
    <w:rsid w:val="00B445B8"/>
    <w:rsid w:val="00B45FB4"/>
    <w:rsid w:val="00B47DAA"/>
    <w:rsid w:val="00B523DC"/>
    <w:rsid w:val="00B75767"/>
    <w:rsid w:val="00B85CA1"/>
    <w:rsid w:val="00B93042"/>
    <w:rsid w:val="00BA3319"/>
    <w:rsid w:val="00BB1C28"/>
    <w:rsid w:val="00BE1DF2"/>
    <w:rsid w:val="00BE2B75"/>
    <w:rsid w:val="00BE5AE2"/>
    <w:rsid w:val="00BF1F52"/>
    <w:rsid w:val="00BF6221"/>
    <w:rsid w:val="00C170B9"/>
    <w:rsid w:val="00C51253"/>
    <w:rsid w:val="00C5368C"/>
    <w:rsid w:val="00C7587C"/>
    <w:rsid w:val="00CB6AF6"/>
    <w:rsid w:val="00CC5F54"/>
    <w:rsid w:val="00CC6B54"/>
    <w:rsid w:val="00CD250B"/>
    <w:rsid w:val="00CD504A"/>
    <w:rsid w:val="00CE033D"/>
    <w:rsid w:val="00CF1F2E"/>
    <w:rsid w:val="00CF3E50"/>
    <w:rsid w:val="00CF3F0D"/>
    <w:rsid w:val="00CF4152"/>
    <w:rsid w:val="00D0554C"/>
    <w:rsid w:val="00D108B2"/>
    <w:rsid w:val="00D16371"/>
    <w:rsid w:val="00D2199C"/>
    <w:rsid w:val="00D24163"/>
    <w:rsid w:val="00D43FFD"/>
    <w:rsid w:val="00D45082"/>
    <w:rsid w:val="00D506B6"/>
    <w:rsid w:val="00D67E8A"/>
    <w:rsid w:val="00D72134"/>
    <w:rsid w:val="00D77453"/>
    <w:rsid w:val="00D80245"/>
    <w:rsid w:val="00D80DA0"/>
    <w:rsid w:val="00D87405"/>
    <w:rsid w:val="00D90C19"/>
    <w:rsid w:val="00DA0A2D"/>
    <w:rsid w:val="00DA1359"/>
    <w:rsid w:val="00DC0D3E"/>
    <w:rsid w:val="00DC126E"/>
    <w:rsid w:val="00DC6E62"/>
    <w:rsid w:val="00DF1C80"/>
    <w:rsid w:val="00DF7056"/>
    <w:rsid w:val="00E029D3"/>
    <w:rsid w:val="00E073AB"/>
    <w:rsid w:val="00E13D5E"/>
    <w:rsid w:val="00E221DE"/>
    <w:rsid w:val="00E34A18"/>
    <w:rsid w:val="00E3513D"/>
    <w:rsid w:val="00E42C4D"/>
    <w:rsid w:val="00E5207C"/>
    <w:rsid w:val="00E56C49"/>
    <w:rsid w:val="00E770D9"/>
    <w:rsid w:val="00E80233"/>
    <w:rsid w:val="00EA042F"/>
    <w:rsid w:val="00EA3642"/>
    <w:rsid w:val="00EA6CCC"/>
    <w:rsid w:val="00EC1499"/>
    <w:rsid w:val="00ED126F"/>
    <w:rsid w:val="00EE23BB"/>
    <w:rsid w:val="00EE74EE"/>
    <w:rsid w:val="00EF55A1"/>
    <w:rsid w:val="00EF6BCE"/>
    <w:rsid w:val="00EF7CED"/>
    <w:rsid w:val="00F00656"/>
    <w:rsid w:val="00F07587"/>
    <w:rsid w:val="00F239E2"/>
    <w:rsid w:val="00F30EE0"/>
    <w:rsid w:val="00F34423"/>
    <w:rsid w:val="00F4236B"/>
    <w:rsid w:val="00F42D7E"/>
    <w:rsid w:val="00F44561"/>
    <w:rsid w:val="00F5056E"/>
    <w:rsid w:val="00F519B6"/>
    <w:rsid w:val="00F54303"/>
    <w:rsid w:val="00F60BF9"/>
    <w:rsid w:val="00F627ED"/>
    <w:rsid w:val="00F7735A"/>
    <w:rsid w:val="00F83F73"/>
    <w:rsid w:val="00F869E2"/>
    <w:rsid w:val="00F90DEE"/>
    <w:rsid w:val="00F94BA0"/>
    <w:rsid w:val="00FA5F9C"/>
    <w:rsid w:val="00FB22CC"/>
    <w:rsid w:val="00FB3418"/>
    <w:rsid w:val="00FD3094"/>
    <w:rsid w:val="00FD3BE9"/>
    <w:rsid w:val="00FE018C"/>
    <w:rsid w:val="00FE25D1"/>
    <w:rsid w:val="00FE50FE"/>
    <w:rsid w:val="00FF252C"/>
    <w:rsid w:val="01C40DDD"/>
    <w:rsid w:val="05DE61E6"/>
    <w:rsid w:val="06327225"/>
    <w:rsid w:val="0BC521A2"/>
    <w:rsid w:val="0E81463F"/>
    <w:rsid w:val="0FDE750E"/>
    <w:rsid w:val="14A95694"/>
    <w:rsid w:val="14D92565"/>
    <w:rsid w:val="16C906DE"/>
    <w:rsid w:val="1A3C5DB9"/>
    <w:rsid w:val="1CE41EDC"/>
    <w:rsid w:val="1EA37BD3"/>
    <w:rsid w:val="22010064"/>
    <w:rsid w:val="27D54B0B"/>
    <w:rsid w:val="286A4CEF"/>
    <w:rsid w:val="2AEA7A1F"/>
    <w:rsid w:val="2BB3127D"/>
    <w:rsid w:val="2D823A25"/>
    <w:rsid w:val="2DFF9071"/>
    <w:rsid w:val="2E867E6D"/>
    <w:rsid w:val="2EFB4A65"/>
    <w:rsid w:val="31132F4E"/>
    <w:rsid w:val="343D449C"/>
    <w:rsid w:val="343F50AA"/>
    <w:rsid w:val="370670F2"/>
    <w:rsid w:val="38080F63"/>
    <w:rsid w:val="38506971"/>
    <w:rsid w:val="3A056B45"/>
    <w:rsid w:val="3AAA4C10"/>
    <w:rsid w:val="3AFFD895"/>
    <w:rsid w:val="3B72466B"/>
    <w:rsid w:val="3BAB3E99"/>
    <w:rsid w:val="3C9D07A8"/>
    <w:rsid w:val="3E242DE0"/>
    <w:rsid w:val="3F486F2D"/>
    <w:rsid w:val="3FF790EA"/>
    <w:rsid w:val="41DE664A"/>
    <w:rsid w:val="43B81430"/>
    <w:rsid w:val="43C21AC4"/>
    <w:rsid w:val="462B72EB"/>
    <w:rsid w:val="46511A49"/>
    <w:rsid w:val="47B65CD6"/>
    <w:rsid w:val="490B2684"/>
    <w:rsid w:val="4A0F5F3A"/>
    <w:rsid w:val="4B1459E0"/>
    <w:rsid w:val="4C8E28C9"/>
    <w:rsid w:val="4CB57D0F"/>
    <w:rsid w:val="4E5B5626"/>
    <w:rsid w:val="4E7C0EC6"/>
    <w:rsid w:val="50216F73"/>
    <w:rsid w:val="52EA41C9"/>
    <w:rsid w:val="55D2786A"/>
    <w:rsid w:val="55DF2088"/>
    <w:rsid w:val="560F16BD"/>
    <w:rsid w:val="56534474"/>
    <w:rsid w:val="56DC5622"/>
    <w:rsid w:val="56FDA8D9"/>
    <w:rsid w:val="57D85B04"/>
    <w:rsid w:val="5980662B"/>
    <w:rsid w:val="599C7B97"/>
    <w:rsid w:val="5A3F2C14"/>
    <w:rsid w:val="5C301F83"/>
    <w:rsid w:val="5DF43AFD"/>
    <w:rsid w:val="5EB929CE"/>
    <w:rsid w:val="61F25ACE"/>
    <w:rsid w:val="637251F2"/>
    <w:rsid w:val="65885B0D"/>
    <w:rsid w:val="674FD09A"/>
    <w:rsid w:val="67AB8BFF"/>
    <w:rsid w:val="67F921BE"/>
    <w:rsid w:val="6858684A"/>
    <w:rsid w:val="69A76940"/>
    <w:rsid w:val="69FE3FDE"/>
    <w:rsid w:val="6A7875D3"/>
    <w:rsid w:val="6A7A0B12"/>
    <w:rsid w:val="6BEF1D92"/>
    <w:rsid w:val="6DC42A44"/>
    <w:rsid w:val="6DE662C0"/>
    <w:rsid w:val="6DEFFFB3"/>
    <w:rsid w:val="6EAE7221"/>
    <w:rsid w:val="6F392014"/>
    <w:rsid w:val="7467234B"/>
    <w:rsid w:val="75AE7B06"/>
    <w:rsid w:val="76C973EA"/>
    <w:rsid w:val="77EEC65A"/>
    <w:rsid w:val="7BE2219F"/>
    <w:rsid w:val="7D8730C8"/>
    <w:rsid w:val="7DFFE975"/>
    <w:rsid w:val="7E034DC6"/>
    <w:rsid w:val="7E6F00A8"/>
    <w:rsid w:val="7E864753"/>
    <w:rsid w:val="7F9FC693"/>
    <w:rsid w:val="8FED4273"/>
    <w:rsid w:val="9BBBBE31"/>
    <w:rsid w:val="A6BB7E92"/>
    <w:rsid w:val="BEF76671"/>
    <w:rsid w:val="DDDB7E60"/>
    <w:rsid w:val="EABF1578"/>
    <w:rsid w:val="F3AC97B3"/>
    <w:rsid w:val="F7FBF0EB"/>
    <w:rsid w:val="F97927A1"/>
    <w:rsid w:val="FB5F2A67"/>
    <w:rsid w:val="FFB76D18"/>
    <w:rsid w:val="FFFB98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5"/>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36"/>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37"/>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38"/>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39"/>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40"/>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41"/>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42"/>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43"/>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1260"/>
      <w:jc w:val="left"/>
    </w:pPr>
    <w:rPr>
      <w:rFonts w:eastAsiaTheme="minorHAnsi"/>
      <w:sz w:val="18"/>
      <w:szCs w:val="18"/>
    </w:rPr>
  </w:style>
  <w:style w:type="paragraph" w:styleId="12">
    <w:name w:val="caption"/>
    <w:basedOn w:val="1"/>
    <w:next w:val="1"/>
    <w:qFormat/>
    <w:uiPriority w:val="0"/>
    <w:pPr>
      <w:widowControl/>
      <w:jc w:val="left"/>
    </w:pPr>
    <w:rPr>
      <w:rFonts w:ascii="Cambria" w:hAnsi="Cambria" w:eastAsia="黑体" w:cs="宋体"/>
      <w:kern w:val="0"/>
      <w:sz w:val="20"/>
      <w:szCs w:val="20"/>
    </w:rPr>
  </w:style>
  <w:style w:type="paragraph" w:styleId="13">
    <w:name w:val="annotation text"/>
    <w:basedOn w:val="1"/>
    <w:semiHidden/>
    <w:unhideWhenUsed/>
    <w:qFormat/>
    <w:uiPriority w:val="99"/>
    <w:pPr>
      <w:jc w:val="left"/>
    </w:pPr>
  </w:style>
  <w:style w:type="paragraph" w:styleId="14">
    <w:name w:val="Body Text"/>
    <w:basedOn w:val="1"/>
    <w:next w:val="1"/>
    <w:unhideWhenUsed/>
    <w:qFormat/>
    <w:uiPriority w:val="0"/>
    <w:pPr>
      <w:spacing w:after="120"/>
    </w:pPr>
  </w:style>
  <w:style w:type="paragraph" w:styleId="15">
    <w:name w:val="Body Text Indent"/>
    <w:basedOn w:val="1"/>
    <w:next w:val="16"/>
    <w:qFormat/>
    <w:uiPriority w:val="0"/>
    <w:pPr>
      <w:snapToGrid w:val="0"/>
      <w:spacing w:line="336" w:lineRule="auto"/>
      <w:ind w:firstLine="630"/>
    </w:pPr>
    <w:rPr>
      <w:sz w:val="32"/>
    </w:rPr>
  </w:style>
  <w:style w:type="paragraph" w:styleId="16">
    <w:name w:val="Body Text First Indent 2"/>
    <w:basedOn w:val="15"/>
    <w:next w:val="17"/>
    <w:qFormat/>
    <w:uiPriority w:val="0"/>
    <w:pPr>
      <w:tabs>
        <w:tab w:val="left" w:pos="5145"/>
        <w:tab w:val="left" w:pos="8400"/>
      </w:tabs>
      <w:spacing w:after="120" w:line="240" w:lineRule="auto"/>
      <w:ind w:left="420" w:leftChars="200" w:firstLine="420" w:firstLineChars="200"/>
    </w:pPr>
    <w:rPr>
      <w:rFonts w:ascii="Times New Roman" w:eastAsia="宋体"/>
      <w:color w:val="auto"/>
      <w:sz w:val="21"/>
      <w:szCs w:val="21"/>
    </w:rPr>
  </w:style>
  <w:style w:type="paragraph" w:styleId="17">
    <w:name w:val="Body Text First Indent"/>
    <w:basedOn w:val="14"/>
    <w:qFormat/>
    <w:uiPriority w:val="0"/>
    <w:pPr>
      <w:autoSpaceDE/>
      <w:autoSpaceDN/>
      <w:spacing w:after="120"/>
      <w:ind w:firstLine="420" w:firstLineChars="100"/>
      <w:jc w:val="both"/>
    </w:pPr>
    <w:rPr>
      <w:rFonts w:ascii="Calibri" w:hAnsi="Calibri" w:cs="黑体"/>
      <w:kern w:val="2"/>
      <w:sz w:val="21"/>
      <w:szCs w:val="20"/>
      <w:lang w:eastAsia="zh-CN" w:bidi="ar-SA"/>
    </w:rPr>
  </w:style>
  <w:style w:type="paragraph" w:styleId="18">
    <w:name w:val="toc 5"/>
    <w:basedOn w:val="1"/>
    <w:next w:val="1"/>
    <w:autoRedefine/>
    <w:unhideWhenUsed/>
    <w:qFormat/>
    <w:uiPriority w:val="39"/>
    <w:pPr>
      <w:ind w:left="840"/>
      <w:jc w:val="left"/>
    </w:pPr>
    <w:rPr>
      <w:rFonts w:eastAsiaTheme="minorHAnsi"/>
      <w:sz w:val="18"/>
      <w:szCs w:val="18"/>
    </w:rPr>
  </w:style>
  <w:style w:type="paragraph" w:styleId="19">
    <w:name w:val="toc 3"/>
    <w:basedOn w:val="1"/>
    <w:next w:val="1"/>
    <w:autoRedefine/>
    <w:unhideWhenUsed/>
    <w:qFormat/>
    <w:uiPriority w:val="39"/>
    <w:pPr>
      <w:ind w:left="420"/>
      <w:jc w:val="left"/>
    </w:pPr>
    <w:rPr>
      <w:rFonts w:eastAsiaTheme="minorHAnsi"/>
      <w:i/>
      <w:iCs/>
      <w:sz w:val="20"/>
      <w:szCs w:val="20"/>
    </w:rPr>
  </w:style>
  <w:style w:type="paragraph" w:styleId="20">
    <w:name w:val="toc 8"/>
    <w:basedOn w:val="1"/>
    <w:next w:val="1"/>
    <w:autoRedefine/>
    <w:unhideWhenUsed/>
    <w:qFormat/>
    <w:uiPriority w:val="39"/>
    <w:pPr>
      <w:ind w:left="1470"/>
      <w:jc w:val="left"/>
    </w:pPr>
    <w:rPr>
      <w:rFonts w:eastAsiaTheme="minorHAnsi"/>
      <w:sz w:val="18"/>
      <w:szCs w:val="18"/>
    </w:rPr>
  </w:style>
  <w:style w:type="paragraph" w:styleId="21">
    <w:name w:val="footer"/>
    <w:basedOn w:val="1"/>
    <w:link w:val="54"/>
    <w:unhideWhenUsed/>
    <w:qFormat/>
    <w:uiPriority w:val="99"/>
    <w:pPr>
      <w:tabs>
        <w:tab w:val="center" w:pos="4153"/>
        <w:tab w:val="right" w:pos="8306"/>
      </w:tabs>
      <w:snapToGrid w:val="0"/>
      <w:jc w:val="left"/>
    </w:pPr>
    <w:rPr>
      <w:sz w:val="18"/>
      <w:szCs w:val="18"/>
    </w:rPr>
  </w:style>
  <w:style w:type="paragraph" w:styleId="22">
    <w:name w:val="header"/>
    <w:basedOn w:val="1"/>
    <w:link w:val="53"/>
    <w:unhideWhenUsed/>
    <w:qFormat/>
    <w:uiPriority w:val="99"/>
    <w:pPr>
      <w:tabs>
        <w:tab w:val="center" w:pos="4153"/>
        <w:tab w:val="right" w:pos="8306"/>
      </w:tabs>
      <w:snapToGrid w:val="0"/>
      <w:jc w:val="center"/>
    </w:pPr>
    <w:rPr>
      <w:sz w:val="18"/>
      <w:szCs w:val="18"/>
    </w:rPr>
  </w:style>
  <w:style w:type="paragraph" w:styleId="23">
    <w:name w:val="toc 1"/>
    <w:basedOn w:val="1"/>
    <w:next w:val="1"/>
    <w:autoRedefine/>
    <w:unhideWhenUsed/>
    <w:qFormat/>
    <w:uiPriority w:val="39"/>
    <w:pPr>
      <w:spacing w:before="120" w:after="120"/>
      <w:jc w:val="left"/>
    </w:pPr>
    <w:rPr>
      <w:rFonts w:eastAsiaTheme="minorHAnsi"/>
      <w:b/>
      <w:bCs/>
      <w:caps/>
      <w:sz w:val="20"/>
      <w:szCs w:val="20"/>
    </w:rPr>
  </w:style>
  <w:style w:type="paragraph" w:styleId="24">
    <w:name w:val="toc 4"/>
    <w:basedOn w:val="1"/>
    <w:next w:val="1"/>
    <w:autoRedefine/>
    <w:unhideWhenUsed/>
    <w:qFormat/>
    <w:uiPriority w:val="39"/>
    <w:pPr>
      <w:ind w:left="630"/>
      <w:jc w:val="left"/>
    </w:pPr>
    <w:rPr>
      <w:rFonts w:eastAsiaTheme="minorHAnsi"/>
      <w:sz w:val="18"/>
      <w:szCs w:val="18"/>
    </w:rPr>
  </w:style>
  <w:style w:type="paragraph" w:styleId="25">
    <w:name w:val="Subtitle"/>
    <w:basedOn w:val="1"/>
    <w:next w:val="1"/>
    <w:link w:val="45"/>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toc 6"/>
    <w:basedOn w:val="1"/>
    <w:next w:val="1"/>
    <w:autoRedefine/>
    <w:unhideWhenUsed/>
    <w:qFormat/>
    <w:uiPriority w:val="39"/>
    <w:pPr>
      <w:ind w:left="1050"/>
      <w:jc w:val="left"/>
    </w:pPr>
    <w:rPr>
      <w:rFonts w:eastAsiaTheme="minorHAnsi"/>
      <w:sz w:val="18"/>
      <w:szCs w:val="18"/>
    </w:rPr>
  </w:style>
  <w:style w:type="paragraph" w:styleId="27">
    <w:name w:val="toc 2"/>
    <w:basedOn w:val="1"/>
    <w:next w:val="1"/>
    <w:autoRedefine/>
    <w:unhideWhenUsed/>
    <w:qFormat/>
    <w:uiPriority w:val="39"/>
    <w:pPr>
      <w:ind w:left="210"/>
      <w:jc w:val="left"/>
    </w:pPr>
    <w:rPr>
      <w:rFonts w:eastAsiaTheme="minorHAnsi"/>
      <w:smallCaps/>
      <w:sz w:val="20"/>
      <w:szCs w:val="20"/>
    </w:rPr>
  </w:style>
  <w:style w:type="paragraph" w:styleId="28">
    <w:name w:val="toc 9"/>
    <w:basedOn w:val="1"/>
    <w:next w:val="1"/>
    <w:autoRedefine/>
    <w:unhideWhenUsed/>
    <w:qFormat/>
    <w:uiPriority w:val="39"/>
    <w:pPr>
      <w:ind w:left="1680"/>
      <w:jc w:val="left"/>
    </w:pPr>
    <w:rPr>
      <w:rFonts w:eastAsiaTheme="minorHAnsi"/>
      <w:sz w:val="18"/>
      <w:szCs w:val="18"/>
    </w:rPr>
  </w:style>
  <w:style w:type="paragraph" w:styleId="29">
    <w:name w:val="Title"/>
    <w:basedOn w:val="1"/>
    <w:next w:val="1"/>
    <w:link w:val="44"/>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Hyperlink"/>
    <w:basedOn w:val="32"/>
    <w:unhideWhenUsed/>
    <w:qFormat/>
    <w:uiPriority w:val="99"/>
    <w:rPr>
      <w:color w:val="467886" w:themeColor="hyperlink"/>
      <w:u w:val="single"/>
      <w14:textFill>
        <w14:solidFill>
          <w14:schemeClr w14:val="hlink"/>
        </w14:solidFill>
      </w14:textFill>
    </w:rPr>
  </w:style>
  <w:style w:type="character" w:customStyle="1" w:styleId="35">
    <w:name w:val="标题 1 字符"/>
    <w:basedOn w:val="32"/>
    <w:link w:val="2"/>
    <w:qFormat/>
    <w:uiPriority w:val="9"/>
    <w:rPr>
      <w:rFonts w:asciiTheme="majorHAnsi" w:hAnsiTheme="majorHAnsi" w:eastAsiaTheme="majorEastAsia" w:cstheme="majorBidi"/>
      <w:color w:val="104862" w:themeColor="accent1" w:themeShade="BF"/>
      <w:sz w:val="48"/>
      <w:szCs w:val="48"/>
    </w:rPr>
  </w:style>
  <w:style w:type="character" w:customStyle="1" w:styleId="36">
    <w:name w:val="标题 2 字符"/>
    <w:basedOn w:val="32"/>
    <w:link w:val="3"/>
    <w:qFormat/>
    <w:uiPriority w:val="9"/>
    <w:rPr>
      <w:rFonts w:asciiTheme="majorHAnsi" w:hAnsiTheme="majorHAnsi" w:eastAsiaTheme="majorEastAsia" w:cstheme="majorBidi"/>
      <w:color w:val="104862" w:themeColor="accent1" w:themeShade="BF"/>
      <w:sz w:val="40"/>
      <w:szCs w:val="40"/>
    </w:rPr>
  </w:style>
  <w:style w:type="character" w:customStyle="1" w:styleId="37">
    <w:name w:val="标题 3 字符"/>
    <w:basedOn w:val="32"/>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38">
    <w:name w:val="标题 4 字符"/>
    <w:basedOn w:val="32"/>
    <w:link w:val="5"/>
    <w:semiHidden/>
    <w:qFormat/>
    <w:uiPriority w:val="9"/>
    <w:rPr>
      <w:rFonts w:cstheme="majorBidi"/>
      <w:color w:val="104862" w:themeColor="accent1" w:themeShade="BF"/>
      <w:sz w:val="28"/>
      <w:szCs w:val="28"/>
    </w:rPr>
  </w:style>
  <w:style w:type="character" w:customStyle="1" w:styleId="39">
    <w:name w:val="标题 5 字符"/>
    <w:basedOn w:val="32"/>
    <w:link w:val="6"/>
    <w:semiHidden/>
    <w:qFormat/>
    <w:uiPriority w:val="9"/>
    <w:rPr>
      <w:rFonts w:cstheme="majorBidi"/>
      <w:color w:val="104862" w:themeColor="accent1" w:themeShade="BF"/>
      <w:sz w:val="24"/>
      <w:szCs w:val="24"/>
    </w:rPr>
  </w:style>
  <w:style w:type="character" w:customStyle="1" w:styleId="40">
    <w:name w:val="标题 6 字符"/>
    <w:basedOn w:val="32"/>
    <w:link w:val="7"/>
    <w:semiHidden/>
    <w:qFormat/>
    <w:uiPriority w:val="9"/>
    <w:rPr>
      <w:rFonts w:cstheme="majorBidi"/>
      <w:b/>
      <w:bCs/>
      <w:color w:val="104862" w:themeColor="accent1" w:themeShade="BF"/>
    </w:rPr>
  </w:style>
  <w:style w:type="character" w:customStyle="1" w:styleId="41">
    <w:name w:val="标题 7 字符"/>
    <w:basedOn w:val="32"/>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42">
    <w:name w:val="标题 8 字符"/>
    <w:basedOn w:val="32"/>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43">
    <w:name w:val="标题 9 字符"/>
    <w:basedOn w:val="32"/>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44">
    <w:name w:val="标题 字符"/>
    <w:basedOn w:val="32"/>
    <w:link w:val="29"/>
    <w:qFormat/>
    <w:uiPriority w:val="10"/>
    <w:rPr>
      <w:rFonts w:asciiTheme="majorHAnsi" w:hAnsiTheme="majorHAnsi" w:eastAsiaTheme="majorEastAsia" w:cstheme="majorBidi"/>
      <w:spacing w:val="-10"/>
      <w:kern w:val="28"/>
      <w:sz w:val="56"/>
      <w:szCs w:val="56"/>
    </w:rPr>
  </w:style>
  <w:style w:type="character" w:customStyle="1" w:styleId="45">
    <w:name w:val="副标题 字符"/>
    <w:basedOn w:val="32"/>
    <w:link w:val="2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46">
    <w:name w:val="Quote"/>
    <w:basedOn w:val="1"/>
    <w:next w:val="1"/>
    <w:link w:val="47"/>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47">
    <w:name w:val="引用 字符"/>
    <w:basedOn w:val="32"/>
    <w:link w:val="46"/>
    <w:qFormat/>
    <w:uiPriority w:val="29"/>
    <w:rPr>
      <w:i/>
      <w:iCs/>
      <w:color w:val="404040" w:themeColor="text1" w:themeTint="BF"/>
      <w14:textFill>
        <w14:solidFill>
          <w14:schemeClr w14:val="tx1">
            <w14:lumMod w14:val="75000"/>
            <w14:lumOff w14:val="25000"/>
          </w14:schemeClr>
        </w14:solidFill>
      </w14:textFill>
    </w:rPr>
  </w:style>
  <w:style w:type="paragraph" w:styleId="48">
    <w:name w:val="List Paragraph"/>
    <w:basedOn w:val="1"/>
    <w:qFormat/>
    <w:uiPriority w:val="34"/>
    <w:pPr>
      <w:ind w:left="720"/>
      <w:contextualSpacing/>
    </w:pPr>
  </w:style>
  <w:style w:type="character" w:customStyle="1" w:styleId="49">
    <w:name w:val="Intense Emphasis"/>
    <w:basedOn w:val="32"/>
    <w:qFormat/>
    <w:uiPriority w:val="21"/>
    <w:rPr>
      <w:i/>
      <w:iCs/>
      <w:color w:val="104862" w:themeColor="accent1" w:themeShade="BF"/>
    </w:rPr>
  </w:style>
  <w:style w:type="paragraph" w:styleId="50">
    <w:name w:val="Intense Quote"/>
    <w:basedOn w:val="1"/>
    <w:next w:val="1"/>
    <w:link w:val="5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51">
    <w:name w:val="明显引用 字符"/>
    <w:basedOn w:val="32"/>
    <w:link w:val="50"/>
    <w:qFormat/>
    <w:uiPriority w:val="30"/>
    <w:rPr>
      <w:i/>
      <w:iCs/>
      <w:color w:val="104862" w:themeColor="accent1" w:themeShade="BF"/>
    </w:rPr>
  </w:style>
  <w:style w:type="character" w:customStyle="1" w:styleId="52">
    <w:name w:val="Intense Reference"/>
    <w:basedOn w:val="32"/>
    <w:qFormat/>
    <w:uiPriority w:val="32"/>
    <w:rPr>
      <w:b/>
      <w:bCs/>
      <w:smallCaps/>
      <w:color w:val="104862" w:themeColor="accent1" w:themeShade="BF"/>
      <w:spacing w:val="5"/>
    </w:rPr>
  </w:style>
  <w:style w:type="character" w:customStyle="1" w:styleId="53">
    <w:name w:val="页眉 字符"/>
    <w:basedOn w:val="32"/>
    <w:link w:val="22"/>
    <w:qFormat/>
    <w:uiPriority w:val="99"/>
    <w:rPr>
      <w:sz w:val="18"/>
      <w:szCs w:val="18"/>
    </w:rPr>
  </w:style>
  <w:style w:type="character" w:customStyle="1" w:styleId="54">
    <w:name w:val="页脚 字符"/>
    <w:basedOn w:val="32"/>
    <w:link w:val="21"/>
    <w:qFormat/>
    <w:uiPriority w:val="99"/>
    <w:rPr>
      <w:sz w:val="18"/>
      <w:szCs w:val="18"/>
    </w:rPr>
  </w:style>
  <w:style w:type="character" w:customStyle="1" w:styleId="55">
    <w:name w:val="font21"/>
    <w:basedOn w:val="32"/>
    <w:qFormat/>
    <w:uiPriority w:val="0"/>
    <w:rPr>
      <w:rFonts w:hint="default" w:ascii="Times New Roman" w:hAnsi="Times New Roman" w:cs="Times New Roman"/>
      <w:color w:val="000000"/>
      <w:sz w:val="21"/>
      <w:szCs w:val="21"/>
      <w:u w:val="none"/>
    </w:rPr>
  </w:style>
  <w:style w:type="character" w:customStyle="1" w:styleId="56">
    <w:name w:val="font41"/>
    <w:basedOn w:val="32"/>
    <w:qFormat/>
    <w:uiPriority w:val="0"/>
    <w:rPr>
      <w:rFonts w:hint="default" w:ascii="Times New Roman" w:hAnsi="Times New Roman" w:cs="Times New Roman"/>
      <w:color w:val="000000"/>
      <w:sz w:val="21"/>
      <w:szCs w:val="21"/>
      <w:u w:val="none"/>
      <w:vertAlign w:val="subscript"/>
    </w:rPr>
  </w:style>
  <w:style w:type="character" w:customStyle="1" w:styleId="57">
    <w:name w:val="font11"/>
    <w:basedOn w:val="32"/>
    <w:qFormat/>
    <w:uiPriority w:val="0"/>
    <w:rPr>
      <w:rFonts w:hint="default" w:ascii="仿宋" w:hAnsi="仿宋" w:eastAsia="仿宋" w:cs="仿宋"/>
      <w:color w:val="000000"/>
      <w:sz w:val="21"/>
      <w:szCs w:val="21"/>
      <w:u w:val="none"/>
    </w:rPr>
  </w:style>
  <w:style w:type="character" w:customStyle="1" w:styleId="58">
    <w:name w:val="font31"/>
    <w:basedOn w:val="32"/>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chart" Target="charts/chart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Users/zhaofeng/Desktop/&#21271;&#20140;/&#32654;&#20122;/&#30899;&#36275;&#36857;&#26448;&#26009;/&#30899;&#36275;&#36857;&#26448;&#26009;/&#20135;&#21697;&#30899;&#36275;&#36857;&#36164;&#26009;&#25910;&#38598;&#28165;&#21333;(&#27719;&#246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'[产品碳足迹资料收集清单(汇总).xlsx]Sheet3'!$A$1</c:f>
              <c:strCache>
                <c:ptCount val="1"/>
                <c:pt idx="0">
                  <c:v>树脂</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'[产品碳足迹资料收集清单(汇总).xlsx]Sheet3'!$F$1</c:f>
              <c:numCache>
                <c:formatCode>0.00%</c:formatCode>
                <c:ptCount val="1"/>
                <c:pt idx="0">
                  <c:v>0.862345866296069</c:v>
                </c:pt>
              </c:numCache>
            </c:numRef>
          </c:val>
        </c:ser>
        <c:ser>
          <c:idx val="1"/>
          <c:order val="1"/>
          <c:tx>
            <c:strRef>
              <c:f>'[产品碳足迹资料收集清单(汇总).xlsx]Sheet3'!$A$2</c:f>
              <c:strCache>
                <c:ptCount val="1"/>
                <c:pt idx="0">
                  <c:v>石粉</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'[产品碳足迹资料收集清单(汇总).xlsx]Sheet3'!$F$2</c:f>
              <c:numCache>
                <c:formatCode>0.00%</c:formatCode>
                <c:ptCount val="1"/>
                <c:pt idx="0">
                  <c:v>0.0499000472060442</c:v>
                </c:pt>
              </c:numCache>
            </c:numRef>
          </c:val>
        </c:ser>
        <c:ser>
          <c:idx val="2"/>
          <c:order val="2"/>
          <c:tx>
            <c:strRef>
              <c:f>'[产品碳足迹资料收集清单(汇总).xlsx]Sheet3'!$A$3</c:f>
              <c:strCache>
                <c:ptCount val="1"/>
                <c:pt idx="0">
                  <c:v>塑料</c:v>
                </c:pt>
              </c:strCache>
            </c:strRef>
          </c:tx>
          <c:spPr>
            <a:solidFill>
              <a:schemeClr val="accent3"/>
            </a:solidFill>
            <a:ln>
              <a:noFill/>
            </a:ln>
            <a:effectLst/>
          </c:spPr>
          <c:invertIfNegative val="0"/>
          <c:dLbls>
            <c:delete val="1"/>
          </c:dLbls>
          <c:val>
            <c:numRef>
              <c:f>'[产品碳足迹资料收集清单(汇总).xlsx]Sheet3'!$F$3</c:f>
              <c:numCache>
                <c:formatCode>0.00%</c:formatCode>
                <c:ptCount val="1"/>
                <c:pt idx="0">
                  <c:v>0.00280195833001706</c:v>
                </c:pt>
              </c:numCache>
            </c:numRef>
          </c:val>
        </c:ser>
        <c:ser>
          <c:idx val="3"/>
          <c:order val="3"/>
          <c:tx>
            <c:strRef>
              <c:f>'[产品碳足迹资料收集清单(汇总).xlsx]Sheet3'!$A$4</c:f>
              <c:strCache>
                <c:ptCount val="1"/>
                <c:pt idx="0">
                  <c:v>纸箱</c:v>
                </c:pt>
              </c:strCache>
            </c:strRef>
          </c:tx>
          <c:spPr>
            <a:solidFill>
              <a:schemeClr val="accent4"/>
            </a:solidFill>
            <a:ln>
              <a:noFill/>
            </a:ln>
            <a:effectLst/>
          </c:spPr>
          <c:invertIfNegative val="0"/>
          <c:dLbls>
            <c:delete val="1"/>
          </c:dLbls>
          <c:val>
            <c:numRef>
              <c:f>'[产品碳足迹资料收集清单(汇总).xlsx]Sheet3'!$F$4</c:f>
              <c:numCache>
                <c:formatCode>0.00%</c:formatCode>
                <c:ptCount val="1"/>
                <c:pt idx="0">
                  <c:v>0.00256682662262157</c:v>
                </c:pt>
              </c:numCache>
            </c:numRef>
          </c:val>
        </c:ser>
        <c:ser>
          <c:idx val="4"/>
          <c:order val="4"/>
          <c:tx>
            <c:strRef>
              <c:f>'[产品碳足迹资料收集清单(汇总).xlsx]Sheet3'!$A$5</c:f>
              <c:strCache>
                <c:ptCount val="1"/>
                <c:pt idx="0">
                  <c:v>自来水</c:v>
                </c:pt>
              </c:strCache>
            </c:strRef>
          </c:tx>
          <c:spPr>
            <a:solidFill>
              <a:schemeClr val="accent5"/>
            </a:solidFill>
            <a:ln>
              <a:noFill/>
            </a:ln>
            <a:effectLst/>
          </c:spPr>
          <c:invertIfNegative val="0"/>
          <c:dLbls>
            <c:delete val="1"/>
          </c:dLbls>
          <c:val>
            <c:numRef>
              <c:f>'[产品碳足迹资料收集清单(汇总).xlsx]Sheet3'!$F$5</c:f>
              <c:numCache>
                <c:formatCode>0.00%</c:formatCode>
                <c:ptCount val="1"/>
                <c:pt idx="0">
                  <c:v>3.2770437351526e-6</c:v>
                </c:pt>
              </c:numCache>
            </c:numRef>
          </c:val>
        </c:ser>
        <c:ser>
          <c:idx val="5"/>
          <c:order val="5"/>
          <c:tx>
            <c:strRef>
              <c:f>'[产品碳足迹资料收集清单(汇总).xlsx]Sheet3'!$A$6</c:f>
              <c:strCache>
                <c:ptCount val="1"/>
                <c:pt idx="0">
                  <c:v>原材料运输</c:v>
                </c:pt>
              </c:strCache>
            </c:strRef>
          </c:tx>
          <c:spPr>
            <a:solidFill>
              <a:schemeClr val="accent6"/>
            </a:solidFill>
            <a:ln>
              <a:noFill/>
            </a:ln>
            <a:effectLst/>
          </c:spPr>
          <c:invertIfNegative val="0"/>
          <c:dLbls>
            <c:delete val="1"/>
          </c:dLbls>
          <c:val>
            <c:numRef>
              <c:f>'[产品碳足迹资料收集清单(汇总).xlsx]Sheet3'!$F$6</c:f>
              <c:numCache>
                <c:formatCode>0.00%</c:formatCode>
                <c:ptCount val="1"/>
                <c:pt idx="0">
                  <c:v>0.000916101777500032</c:v>
                </c:pt>
              </c:numCache>
            </c:numRef>
          </c:val>
        </c:ser>
        <c:ser>
          <c:idx val="6"/>
          <c:order val="6"/>
          <c:tx>
            <c:strRef>
              <c:f>'[产品碳足迹资料收集清单(汇总).xlsx]Sheet3'!$A$7</c:f>
              <c:strCache>
                <c:ptCount val="1"/>
                <c:pt idx="0">
                  <c:v>电力</c:v>
                </c:pt>
              </c:strCache>
            </c:strRef>
          </c:tx>
          <c:spPr>
            <a:solidFill>
              <a:schemeClr val="accent1">
                <a:lumMod val="6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'[产品碳足迹资料收集清单(汇总).xlsx]Sheet3'!$F$7</c:f>
              <c:numCache>
                <c:formatCode>0.00%</c:formatCode>
                <c:ptCount val="1"/>
                <c:pt idx="0">
                  <c:v>0.0734511541191358</c:v>
                </c:pt>
              </c:numCache>
            </c:numRef>
          </c:val>
        </c:ser>
        <c:ser>
          <c:idx val="7"/>
          <c:order val="7"/>
          <c:tx>
            <c:strRef>
              <c:f>'[产品碳足迹资料收集清单(汇总).xlsx]Sheet3'!$A$8</c:f>
              <c:strCache>
                <c:ptCount val="1"/>
                <c:pt idx="0">
                  <c:v>天然气</c:v>
                </c:pt>
              </c:strCache>
            </c:strRef>
          </c:tx>
          <c:spPr>
            <a:solidFill>
              <a:schemeClr val="accent2">
                <a:lumMod val="60000"/>
              </a:schemeClr>
            </a:solidFill>
            <a:ln>
              <a:noFill/>
            </a:ln>
            <a:effectLst/>
          </c:spPr>
          <c:invertIfNegative val="0"/>
          <c:dLbls>
            <c:delete val="1"/>
          </c:dLbls>
          <c:val>
            <c:numRef>
              <c:f>'[产品碳足迹资料收集清单(汇总).xlsx]Sheet3'!$F$8</c:f>
              <c:numCache>
                <c:formatCode>0.00%</c:formatCode>
                <c:ptCount val="1"/>
                <c:pt idx="0">
                  <c:v>0.00753949222982662</c:v>
                </c:pt>
              </c:numCache>
            </c:numRef>
          </c:val>
        </c:ser>
        <c:ser>
          <c:idx val="8"/>
          <c:order val="8"/>
          <c:tx>
            <c:strRef>
              <c:f>'[产品碳足迹资料收集清单(汇总).xlsx]Sheet3'!$A$9</c:f>
              <c:strCache>
                <c:ptCount val="1"/>
                <c:pt idx="0">
                  <c:v>固废处理</c:v>
                </c:pt>
              </c:strCache>
            </c:strRef>
          </c:tx>
          <c:spPr>
            <a:solidFill>
              <a:schemeClr val="accent3">
                <a:lumMod val="60000"/>
              </a:schemeClr>
            </a:solidFill>
            <a:ln>
              <a:noFill/>
            </a:ln>
            <a:effectLst/>
          </c:spPr>
          <c:invertIfNegative val="0"/>
          <c:dLbls>
            <c:delete val="1"/>
          </c:dLbls>
          <c:val>
            <c:numRef>
              <c:f>'[产品碳足迹资料收集清单(汇总).xlsx]Sheet3'!$F$9</c:f>
              <c:numCache>
                <c:formatCode>0.00%</c:formatCode>
                <c:ptCount val="1"/>
                <c:pt idx="0">
                  <c:v>0.000469251274243413</c:v>
                </c:pt>
              </c:numCache>
            </c:numRef>
          </c:val>
        </c:ser>
        <c:ser>
          <c:idx val="9"/>
          <c:order val="9"/>
          <c:tx>
            <c:strRef>
              <c:f>'[产品碳足迹资料收集清单(汇总).xlsx]Sheet3'!$A$10</c:f>
              <c:strCache>
                <c:ptCount val="1"/>
                <c:pt idx="0">
                  <c:v>废水处理</c:v>
                </c:pt>
              </c:strCache>
            </c:strRef>
          </c:tx>
          <c:spPr>
            <a:solidFill>
              <a:schemeClr val="accent4">
                <a:lumMod val="60000"/>
              </a:schemeClr>
            </a:solidFill>
            <a:ln>
              <a:noFill/>
            </a:ln>
            <a:effectLst/>
          </c:spPr>
          <c:invertIfNegative val="0"/>
          <c:dLbls>
            <c:delete val="1"/>
          </c:dLbls>
          <c:val>
            <c:numRef>
              <c:f>'[产品碳足迹资料收集清单(汇总).xlsx]Sheet3'!$F$10</c:f>
              <c:numCache>
                <c:formatCode>0.00%</c:formatCode>
                <c:ptCount val="1"/>
                <c:pt idx="0">
                  <c:v>4.55463246406699e-6</c:v>
                </c:pt>
              </c:numCache>
            </c:numRef>
          </c:val>
        </c:ser>
        <c:ser>
          <c:idx val="10"/>
          <c:order val="10"/>
          <c:tx>
            <c:strRef>
              <c:f>'[产品碳足迹资料收集清单(汇总).xlsx]Sheet3'!$A$11</c:f>
              <c:strCache>
                <c:ptCount val="1"/>
                <c:pt idx="0">
                  <c:v>固废运输</c:v>
                </c:pt>
              </c:strCache>
            </c:strRef>
          </c:tx>
          <c:spPr>
            <a:solidFill>
              <a:schemeClr val="accent5">
                <a:lumMod val="60000"/>
              </a:schemeClr>
            </a:solidFill>
            <a:ln>
              <a:noFill/>
            </a:ln>
            <a:effectLst/>
          </c:spPr>
          <c:invertIfNegative val="0"/>
          <c:dLbls>
            <c:delete val="1"/>
          </c:dLbls>
          <c:val>
            <c:numRef>
              <c:f>'[产品碳足迹资料收集清单(汇总).xlsx]Sheet3'!$F$11</c:f>
              <c:numCache>
                <c:formatCode>0.00%</c:formatCode>
                <c:ptCount val="1"/>
                <c:pt idx="0">
                  <c:v>1.47046834269668e-6</c:v>
                </c:pt>
              </c:numCache>
            </c:numRef>
          </c:val>
        </c:ser>
        <c:dLbls>
          <c:showLegendKey val="0"/>
          <c:showVal val="1"/>
          <c:showCatName val="0"/>
          <c:showSerName val="0"/>
          <c:showPercent val="0"/>
          <c:showBubbleSize val="0"/>
        </c:dLbls>
        <c:gapWidth val="140"/>
        <c:overlap val="100"/>
        <c:axId val="228612587"/>
        <c:axId val="657114318"/>
      </c:barChart>
      <c:catAx>
        <c:axId val="228612587"/>
        <c:scaling>
          <c:orientation val="minMax"/>
        </c:scaling>
        <c:delete val="0"/>
        <c:axPos val="l"/>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贡献占比%</a:t>
                </a:r>
                <a:endParaRPr lang="en-US" altLang="zh-CN"/>
              </a:p>
            </c:rich>
          </c:tx>
          <c:layout/>
          <c:overlay val="0"/>
          <c:spPr>
            <a:noFill/>
            <a:ln>
              <a:noFill/>
            </a:ln>
            <a:effectLst/>
          </c:sp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7114318"/>
        <c:crosses val="autoZero"/>
        <c:auto val="1"/>
        <c:lblAlgn val="ctr"/>
        <c:lblOffset val="100"/>
        <c:noMultiLvlLbl val="0"/>
      </c:catAx>
      <c:valAx>
        <c:axId val="657114318"/>
        <c:scaling>
          <c:orientation val="minMax"/>
        </c:scaling>
        <c:delete val="0"/>
        <c:axPos val="b"/>
        <c:majorGridlines>
          <c:spPr>
            <a:ln w="9525" cap="flat" cmpd="sng" algn="ctr">
              <a:solidFill>
                <a:schemeClr val="lt1">
                  <a:lumMod val="90200"/>
                </a:schemeClr>
              </a:solidFill>
              <a:round/>
            </a:ln>
            <a:effectLst/>
          </c:spPr>
        </c:majorGridlines>
        <c:numFmt formatCode="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861258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7ca71dc-efa2-4a96-a3d0-fe6429f90e6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3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5CF1A8-A407-4EF8-ACEC-B7EC87E18AAD}">
  <ds:schemaRefs/>
</ds:datastoreItem>
</file>

<file path=docProps/app.xml><?xml version="1.0" encoding="utf-8"?>
<Properties xmlns="http://schemas.openxmlformats.org/officeDocument/2006/extended-properties" xmlns:vt="http://schemas.openxmlformats.org/officeDocument/2006/docPropsVTypes">
  <Template>Normal</Template>
  <Pages>21</Pages>
  <Words>6024</Words>
  <Characters>7960</Characters>
  <Lines>69</Lines>
  <Paragraphs>19</Paragraphs>
  <TotalTime>2</TotalTime>
  <ScaleCrop>false</ScaleCrop>
  <LinksUpToDate>false</LinksUpToDate>
  <CharactersWithSpaces>8259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2024-10-29T02:47:00Z</dcterms:created>
  <dc:creator>成军 柳</dc:creator>
  <cp:lastModifiedBy>Cory</cp:lastModifiedBy>
  <cp:lastPrinted>2025-03-02T08:24:00Z</cp:lastPrinted>
  <dcterms:modified xsi:type="dcterms:W3CDTF">2025-10-23T05:33:35Z</dcterms:modified>
  <cp:revision>266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eyJoZGlkIjoiZWQzOTg4ODM3N2EwNzVhZDA4ZDAzZThmNDYxZmIxNDYiLCJ1c2VySWQiOiI0MTA3NzUwOTAifQ==</vt:lpwstr>
  </property>
  <property fmtid="{D5CDD505-2E9C-101B-9397-08002B2CF9AE}" pid="3" name="KSOProductBuildVer">
    <vt:lpwstr>2052-12.1.0.22529</vt:lpwstr>
  </property>
  <property fmtid="{D5CDD505-2E9C-101B-9397-08002B2CF9AE}" pid="4" name="ICV">
    <vt:lpwstr>7FC1292A18B94E918250BC5A6FC0F08A_13</vt:lpwstr>
  </property>
</Properties>
</file>